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Experimental and computational biomedical scientist: human skin biology, single-cell and spatial profiling, machine-learning phenotyping</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Associate applicant · MIT Jameel Clinic · Yilmaz Lab (Koch Institute) and Barzilay Group (CSAIL)</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study human immune and tissue states using primary-cell experiments, spatial measurements, single-cell sequencing, and quantitative analysis. My work includes functional studies of skin-homing regulatory T cells and end-to-end GeoMx profiling of melanoma. I would apply donor-aware molecular analysis and experimental follow-up to hair-cycle and pigmentation phenotyping, target discovery, and biological validation.</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immune-cell functional assays; DNA, RNA, and protein workflows, including qRT-PCR, cloning, and Western blotting;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longitudinal immune monitoring, and non-human-primate sampling.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proposal writing, and project execution supporting approximately $1.3 million in industry research funding.</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nkg1uadoonl7cvzxl_on7">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ly6rkqolxwlhu_kyhdg71">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Built the brain-to-single-cell path from whole-brain harvest through enzymatic digestion, Percoll enrichment and FACS to 10x; identified exhausted CD8⁺ tissue-resident memory T cells engaging choroid-plexus epithelium at the blood–CSF barrier.</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ltvaswg9gdkmmskspcwip">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w7x5pdzggj3pkbspuapfw">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Long-term diabetes control with a tofacitinib-based regimen after allo-islet transplantation in rhesus macaques, with longitudinal immune monitoring.</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r3llmfmk0vc34hb1omkqo">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l1kk-lng7zrla7_72aavg">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usbbfmiwa7qvboz67ul8h">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ne2t_5nes5fy8bhw-mi_k">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az3kyvslifocwm71wtpvj">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Machine-learning</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phenotyping</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Current work at Yonsei is </w:t>
            </w:r>
            <w:r>
              <w:rPr>
                <w:rFonts w:ascii="Arial" w:cs="Arial" w:eastAsia="Arial" w:hAnsi="Arial"/>
                <w:b/>
                <w:bCs/>
                <w:color w:val="1C2128"/>
                <w:sz w:val="20"/>
                <w:szCs w:val="20"/>
              </w:rPr>
              <w:t xml:space="preserve">deep-learning multimodal integration</w:t>
            </w:r>
            <w:r>
              <w:rPr>
                <w:rFonts w:ascii="Arial" w:cs="Arial" w:eastAsia="Arial" w:hAnsi="Arial"/>
                <w:color w:val="1C2128"/>
                <w:sz w:val="20"/>
                <w:szCs w:val="20"/>
              </w:rPr>
              <w:t xml:space="preserve">, fusing imaging, transcriptomic and clinical data into single predictive models. Cell-state programs defined by </w:t>
            </w:r>
            <w:r>
              <w:rPr>
                <w:rFonts w:ascii="Arial" w:cs="Arial" w:eastAsia="Arial" w:hAnsi="Arial"/>
                <w:b/>
                <w:bCs/>
                <w:color w:val="1C2128"/>
                <w:sz w:val="20"/>
                <w:szCs w:val="20"/>
              </w:rPr>
              <w:t xml:space="preserve">consensus NMF</w:t>
            </w:r>
            <w:r>
              <w:rPr>
                <w:rFonts w:ascii="Arial" w:cs="Arial" w:eastAsia="Arial" w:hAnsi="Arial"/>
                <w:color w:val="1C2128"/>
                <w:sz w:val="20"/>
                <w:szCs w:val="20"/>
              </w:rPr>
              <w:t xml:space="preserve"> (k = 14 → 12 reproducible programs across 251,055 cells), then a condition classifier on subset composition reported with held-out AUC and 95% confidence intervals (arthritis 0.780, healthy control 0.771, psoriasis 0.806). </w:t>
            </w:r>
            <w:r>
              <w:rPr>
                <w:rFonts w:ascii="Arial" w:cs="Arial" w:eastAsia="Arial" w:hAnsi="Arial"/>
                <w:b/>
                <w:bCs/>
                <w:color w:val="1C2128"/>
                <w:sz w:val="20"/>
                <w:szCs w:val="20"/>
              </w:rPr>
              <w:t xml:space="preserve">PyTorch</w:t>
            </w:r>
            <w:r>
              <w:rPr>
                <w:rFonts w:ascii="Arial" w:cs="Arial" w:eastAsia="Arial" w:hAnsi="Arial"/>
                <w:color w:val="1C2128"/>
                <w:sz w:val="20"/>
                <w:szCs w:val="20"/>
              </w:rPr>
              <w:t xml:space="preserve">, scikit-learn, XGBoost/LightGBM/CatBoost. Quantitative image analysis on IHC/IF, frozen and FFPE.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Skin and pigmented</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tissue</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Five human-skin papers: atopic dermatitis (</w:t>
            </w:r>
            <w:r>
              <w:rPr>
                <w:rFonts w:ascii="Arial" w:cs="Arial" w:eastAsia="Arial" w:hAnsi="Arial"/>
                <w:i/>
                <w:iCs/>
                <w:color w:val="1C2128"/>
                <w:sz w:val="20"/>
                <w:szCs w:val="20"/>
              </w:rPr>
              <w:t xml:space="preserve">Allergy</w:t>
            </w:r>
            <w:r>
              <w:rPr>
                <w:rFonts w:ascii="Arial" w:cs="Arial" w:eastAsia="Arial" w:hAnsi="Arial"/>
                <w:color w:val="1C2128"/>
                <w:sz w:val="20"/>
                <w:szCs w:val="20"/>
              </w:rPr>
              <w:t xml:space="preserve"> 2025, co-first), psoriasis (</w:t>
            </w:r>
            <w:r>
              <w:rPr>
                <w:rFonts w:ascii="Arial" w:cs="Arial" w:eastAsia="Arial" w:hAnsi="Arial"/>
                <w:i/>
                <w:iCs/>
                <w:color w:val="1C2128"/>
                <w:sz w:val="20"/>
                <w:szCs w:val="20"/>
              </w:rPr>
              <w:t xml:space="preserve">eBioMedicine</w:t>
            </w:r>
            <w:r>
              <w:rPr>
                <w:rFonts w:ascii="Arial" w:cs="Arial" w:eastAsia="Arial" w:hAnsi="Arial"/>
                <w:color w:val="1C2128"/>
                <w:sz w:val="20"/>
                <w:szCs w:val="20"/>
              </w:rPr>
              <w:t xml:space="preserve"> 2024), mycosis-fungoides-like AD (</w:t>
            </w:r>
            <w:r>
              <w:rPr>
                <w:rFonts w:ascii="Arial" w:cs="Arial" w:eastAsia="Arial" w:hAnsi="Arial"/>
                <w:i/>
                <w:iCs/>
                <w:color w:val="1C2128"/>
                <w:sz w:val="20"/>
                <w:szCs w:val="20"/>
              </w:rPr>
              <w:t xml:space="preserve">Allergy</w:t>
            </w:r>
            <w:r>
              <w:rPr>
                <w:rFonts w:ascii="Arial" w:cs="Arial" w:eastAsia="Arial" w:hAnsi="Arial"/>
                <w:color w:val="1C2128"/>
                <w:sz w:val="20"/>
                <w:szCs w:val="20"/>
              </w:rPr>
              <w:t xml:space="preserve"> 2026), and two on melanoma arising from congenital melanocytic nevus (</w:t>
            </w:r>
            <w:r>
              <w:rPr>
                <w:rFonts w:ascii="Arial" w:cs="Arial" w:eastAsia="Arial" w:hAnsi="Arial"/>
                <w:i/>
                <w:iCs/>
                <w:color w:val="1C2128"/>
                <w:sz w:val="20"/>
                <w:szCs w:val="20"/>
              </w:rPr>
              <w:t xml:space="preserve">JEADV</w:t>
            </w:r>
            <w:r>
              <w:rPr>
                <w:rFonts w:ascii="Arial" w:cs="Arial" w:eastAsia="Arial" w:hAnsi="Arial"/>
                <w:color w:val="1C2128"/>
                <w:sz w:val="20"/>
                <w:szCs w:val="20"/>
              </w:rPr>
              <w:t xml:space="preserve"> 2022 co-first, 2024).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on the nevus melanoma, including S100B melanocyte-marker immunofluorescence stained by hand, depth-segmented sampling, and 16 whole-transcriptome ROIs. Skin tissue dissociation, frozen and FFPE IHC/IF.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fr0yrqfzemgi2hgvd-tuq">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MIT Jameel Clinic</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kg1uadoonl7cvzxl_on7" Type="http://schemas.openxmlformats.org/officeDocument/2006/relationships/hyperlink" Target="https://scholar.google.com/citations?hl=ko&amp;user=tMsQgs8AAAAJ" TargetMode="External"/><Relationship Id="rIdly6rkqolxwlhu_kyhdg71" Type="http://schemas.openxmlformats.org/officeDocument/2006/relationships/hyperlink" Target="file:///Users/kang/CC/PostDoc-apply/Seong-Jun-CV/papers/2025_JNI_Alzheimer_scRNAseq.pdf" TargetMode="External"/><Relationship Id="rIdltvaswg9gdkmmskspcwip" Type="http://schemas.openxmlformats.org/officeDocument/2006/relationships/hyperlink" Target="file:///Users/kang/CC/PostDoc-apply/Seong-Jun-CV/papers/2025_Allergy_AD_Treg.pdf" TargetMode="External"/><Relationship Id="rIdw7x5pdzggj3pkbspuapfw" Type="http://schemas.openxmlformats.org/officeDocument/2006/relationships/hyperlink" Target="file:///Users/kang/CC/PostDoc-apply/Seong-Jun-CV/papers/2024_Xenotransplantation_tofacitinib.pdf" TargetMode="External"/><Relationship Id="rIdr3llmfmk0vc34hb1omkqo" Type="http://schemas.openxmlformats.org/officeDocument/2006/relationships/hyperlink" Target="file:///Users/kang/CC/PostDoc-apply/Seong-Jun-CV/papers/2022_JEADV_melanoma_spatial.pdf" TargetMode="External"/><Relationship Id="rIdl1kk-lng7zrla7_72aavg" Type="http://schemas.openxmlformats.org/officeDocument/2006/relationships/hyperlink" Target="file:///Users/kang/CC/PostDoc-apply/Seong-Jun-CV/papers/2019_Islets_JAK3_isletTx.pdf" TargetMode="External"/><Relationship Id="rIdusbbfmiwa7qvboz67ul8h" Type="http://schemas.openxmlformats.org/officeDocument/2006/relationships/hyperlink" Target="file:///Users/kang/CC/PostDoc-apply/Seong-Jun-CV/papers/2024_eBioMedicine_psoriasis_Treg.pdf" TargetMode="External"/><Relationship Id="rIdne2t_5nes5fy8bhw-mi_k" Type="http://schemas.openxmlformats.org/officeDocument/2006/relationships/hyperlink" Target="file:///Users/kang/CC/PostDoc-apply/Seong-Jun-CV/papers/2024_JEADV_melanoma_immune.pdf" TargetMode="External"/><Relationship Id="rIdaz3kyvslifocwm71wtpvj" Type="http://schemas.openxmlformats.org/officeDocument/2006/relationships/hyperlink" Target="file:///Users/kang/CC/PostDoc-apply/Seong-Jun-CV/papers/2021_CurrDiabRep_xeno_review.pdf" TargetMode="External"/><Relationship Id="rIdfr0yrqfzemgi2hgvd-tuq"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2026-09-23T15:26:30.582Z</dcterms:created>
  <dcterms:modified xsi:type="dcterms:W3CDTF">2026-09-23T15:26:30.582Z</dcterms:modified>
</cp:coreProperties>
</file>

<file path=docProps/custom.xml><?xml version="1.0" encoding="utf-8"?>
<Properties xmlns="http://schemas.openxmlformats.org/officeDocument/2006/custom-properties" xmlns:vt="http://schemas.openxmlformats.org/officeDocument/2006/docPropsVTypes"/>
</file>