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Experimental immunology, binding assays, and single-cell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Keating Lab, MIT Department of Biology</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with hands-on experience in Biacore SPR, ELISA, therapeutic antibody evaluation, and primary-cell functional assays. At PB Immune Therapeutics, I led anti-CD40 candidate evaluation and coordinated external studies from assay specification through data review and advancement decisions. I would bring binding measurements, experimental troubleshooting, and synthesis-and-testing coordination to the Keating Lab's peptide design campaign.</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immune-cell functional assays; DNA, RNA, and protein workflows, including qRT-PCR, cloning, and Western blotting;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longitudinal immune monitoring, and non-human-primate sampling.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proposal writing, and project execution supporting approximately $1.3 million in industry research funding.</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bx6mnz6vjpkxnhfthutmr">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Isoform analysis of 251,055 memory CD4-positive T cells identified a PDE4D short-isoform bias in pathogenic Th1.17 cells. The study also tested selective inhibition.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tyhovmahg6guumfopty9i">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Immune-enriched single-cell analysis of 11,587 mouse brain cells examined CD8-positive resident memory T cells and their interactions with choroid plexus epithelium.</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pmtdwptzywjhpfnjcgnht">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profiling and functional assays examined skin-homing regulatory T cells in atopic dermatitis. OX40 was increased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1a_clzyds6_okfisorrys">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A tofacitinib-based regimen supported long-term diabetes control after islet allotransplantation in rhesus macaques. The work included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je4tjsnc890jvrbsdgwzm">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GeoMx profiling across 16 regions examined melanoma heterogeneity by invasion depth. HLA class I and II expression decreased with greater invasion.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fd6du02_l7mpdz7_y-0lg">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The study tested JAK3 inhibitor-based immunosuppression in cynomolgus macaques receiving allogeneic islet transplants, as an approach to controlling transplant rejection.</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Single-cell RNA and TCR analysis identified a reactive, oligoclonal Th22 endotype in mycosis fungoides-like atopic dermatitis. The study distinguished this inflammatory state from malignancy.</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qlqteis9adlvpdr83lpzu">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High-dimensional immune profiling examined regulatory T cells in psoriasis. The study identified an impaired skin-trafficking phenotype in this population.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qf6mfc8dej9qjr5bqfeo5">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GeoMx spatial transcriptomics examined tumour–immune cell interactions in melanoma arising from congenital melanocytic nevus, retaining the tissue locations of the measured gene expression.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Mesenchymal stem cell-derived extracellular vesicles suppressed Th17 cells. The study linked this effect to destabilization of RORγt through post-translational modification.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An optimized peptide inhibited calcineurin-mediated T-cell activation. The study examined peptide-based suppression of T-cell responses.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cytt4orcgre5gxxkcoz7_">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This review examined immunomodulatory approaches for porcine islet xenotransplantation, with a focus on strategies for controlling immune responses to transplanted islets.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Mesenchymal stem cell-derived exosomes suppressed T-cell proliferation. The study linked this effect to cell-cycle arrest through p27kip1/Cdk2 signaling.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Peripheral-blood RNA sequencing was used to investigate late graft loss after hyperglycemia in pig-to-primate islet transplantation, using bioinformatic analysis of blood gene expression.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examined IL-6 blockade in a pig-to-primate islet transplantation model. Blocking IL-6 was associated with delayed revascularization of the transplanted islets.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Preclinical pig-to-primate islet transplantation was studied under an anti-CD40 antibody regimen using 2C10R4, examining this approach to immunosuppression in the transplant setting.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evaluated a JAK inhibitor as a replacement for tacrolimus in cynomolgus macaques receiving allogeneic islet transplants.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constructed EMSC–islet composites for xenogeneic porcine islet transplantation. It examined a design that placed the two cell components together.</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Work in preparation examines ACTA2 base editing and lymphatic function in MSMDS. My contribution included Olink plasma proteomics and lymph-node immune-cell profiling.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Therapeutic lead</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development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Humanized </w:t>
            </w:r>
            <w:r>
              <w:rPr>
                <w:rFonts w:ascii="Arial" w:cs="Arial" w:eastAsia="Arial" w:hAnsi="Arial"/>
                <w:b/>
                <w:bCs/>
                <w:color w:val="1C2128"/>
                <w:sz w:val="20"/>
                <w:szCs w:val="20"/>
              </w:rPr>
              <w:t xml:space="preserve">anti-CD40</w:t>
            </w:r>
            <w:r>
              <w:rPr>
                <w:rFonts w:ascii="Arial" w:cs="Arial" w:eastAsia="Arial" w:hAnsi="Arial"/>
                <w:color w:val="1C2128"/>
                <w:sz w:val="20"/>
                <w:szCs w:val="20"/>
              </w:rPr>
              <w:t xml:space="preserve"> antibody program from candidate comparison through non-human-primate studies. Assay design, external study coordination, raw-data review, regulatory documentation, and candidate-advancement decisions.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External studies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CRO and core-facility study design, assay specifications, data review, and milestone tracking. Participation in outsourced antibody and AAV manufacturing collaborations involving Samsung Biologics and WuXi. Participation in early joint-development research with Merck, CSL, and Johnson &amp; Johnson.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kinetics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affinity</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ofyxrnk59mphnj3px4prm">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I participated in proposal writing and project execution for the awards listed above. Budgets are approximate conversions at KRW 1,400 per USD. Project periods are award periods, not appointment dates.</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Keating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6mnz6vjpkxnhfthutmr" Type="http://schemas.openxmlformats.org/officeDocument/2006/relationships/hyperlink" Target="https://scholar.google.com/citations?hl=ko&amp;user=tMsQgs8AAAAJ" TargetMode="External"/><Relationship Id="rIdtyhovmahg6guumfopty9i" Type="http://schemas.openxmlformats.org/officeDocument/2006/relationships/hyperlink" Target="file:///Users/kang/CC/PostDoc-apply/Seong-Jun-CV/papers/2025_JNI_Alzheimer_scRNAseq.pdf" TargetMode="External"/><Relationship Id="rIdpmtdwptzywjhpfnjcgnht" Type="http://schemas.openxmlformats.org/officeDocument/2006/relationships/hyperlink" Target="file:///Users/kang/CC/PostDoc-apply/Seong-Jun-CV/papers/2025_Allergy_AD_Treg.pdf" TargetMode="External"/><Relationship Id="rId1a_clzyds6_okfisorrys" Type="http://schemas.openxmlformats.org/officeDocument/2006/relationships/hyperlink" Target="file:///Users/kang/CC/PostDoc-apply/Seong-Jun-CV/papers/2024_Xenotransplantation_tofacitinib.pdf" TargetMode="External"/><Relationship Id="rIdje4tjsnc890jvrbsdgwzm" Type="http://schemas.openxmlformats.org/officeDocument/2006/relationships/hyperlink" Target="file:///Users/kang/CC/PostDoc-apply/Seong-Jun-CV/papers/2022_JEADV_melanoma_spatial.pdf" TargetMode="External"/><Relationship Id="rIdfd6du02_l7mpdz7_y-0lg" Type="http://schemas.openxmlformats.org/officeDocument/2006/relationships/hyperlink" Target="file:///Users/kang/CC/PostDoc-apply/Seong-Jun-CV/papers/2019_Islets_JAK3_isletTx.pdf" TargetMode="External"/><Relationship Id="rIdqlqteis9adlvpdr83lpzu" Type="http://schemas.openxmlformats.org/officeDocument/2006/relationships/hyperlink" Target="file:///Users/kang/CC/PostDoc-apply/Seong-Jun-CV/papers/2024_eBioMedicine_psoriasis_Treg.pdf" TargetMode="External"/><Relationship Id="rIdqf6mfc8dej9qjr5bqfeo5" Type="http://schemas.openxmlformats.org/officeDocument/2006/relationships/hyperlink" Target="file:///Users/kang/CC/PostDoc-apply/Seong-Jun-CV/papers/2024_JEADV_melanoma_immune.pdf" TargetMode="External"/><Relationship Id="rIdcytt4orcgre5gxxkcoz7_" Type="http://schemas.openxmlformats.org/officeDocument/2006/relationships/hyperlink" Target="file:///Users/kang/CC/PostDoc-apply/Seong-Jun-CV/papers/2021_CurrDiabRep_xeno_review.pdf" TargetMode="External"/><Relationship Id="rIdofyxrnk59mphnj3px4prm"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2026-09-23T15:26:41.250Z</dcterms:created>
  <dcterms:modified xsi:type="dcterms:W3CDTF">2026-09-23T15:26:41.250Z</dcterms:modified>
</cp:coreProperties>
</file>

<file path=docProps/custom.xml><?xml version="1.0" encoding="utf-8"?>
<Properties xmlns="http://schemas.openxmlformats.org/officeDocument/2006/custom-properties" xmlns:vt="http://schemas.openxmlformats.org/officeDocument/2006/docPropsVTypes"/>
</file>