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Foundation &amp; Column Shop Drawing — Standby Generator Plinth (Footing G-04 / Column G-02)</w:t>
      </w:r>
    </w:p>
    <w:p>
      <w:r>
        <w:rPr>
          <w:b/>
        </w:rPr>
        <w:t>Submittal No: DC1-02-SD-0187-R0    Rev: R0    Discipline: Structural</w:t>
      </w:r>
    </w:p>
    <w:p>
      <w:r>
        <w:rPr>
          <w:i/>
        </w:rPr>
        <w:t>Project: DC1 — Hyperscale Data Centre, Chennai · 48 MW · Tier III (N+1)</w:t>
      </w:r>
    </w:p>
    <w:p>
      <w:r>
        <w:t>Contractor: Sterling &amp; Wilson (Electrical) / L&amp;T Construction (Civil)</w:t>
      </w:r>
    </w:p>
    <w:p/>
    <w:p>
      <w:r>
        <w:t>This shop drawing covers the reinforced-concrete plinth and support column for the standby generator plant referenced in DC1-16-DBR-0201 (Electrical) and tracked as DC1-04-EL-020 on the project schedule. Structural basis follows the primary Design Basis Report DC1-02-DBR-0001.</w:t>
      </w:r>
    </w:p>
    <w:p>
      <w:pPr>
        <w:pStyle w:val="Heading2"/>
      </w:pPr>
      <w:r>
        <w:t>General Notes</w:t>
      </w:r>
    </w:p>
    <w:p>
      <w:r>
        <w:t>General Note 1: Nominal cover to reinforcement for the standby generator plinth footing G-04, severe exposure, is specified as 35 mm.</w:t>
      </w:r>
    </w:p>
    <w:p>
      <w:r>
        <w:t>General Note 2: Longitudinal reinforcement for column G-02 is provided at 1.2 percent.</w:t>
      </w:r>
    </w:p>
    <w:p>
      <w:r>
        <w:t>General Note 3: Formwork for the plinth shall not be struck before 7 days per the primary Design Basis Report's curing schedule.</w:t>
      </w:r>
    </w:p>
    <w:p/>
    <w:p>
      <w:r>
        <w:rPr>
          <w:sz w:val="18"/>
        </w:rPr>
        <w:t>Prepared by: L&amp;T Construction Structural Design Office</w:t>
      </w:r>
    </w:p>
    <w:p>
      <w:r>
        <w:rPr>
          <w:sz w:val="18"/>
        </w:rPr>
        <w:t>For review against DC1 Compliance Agent baseline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