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Basis Report Addendum — Standby Generator Earthing &amp; LV Distribution</w:t>
      </w:r>
    </w:p>
    <w:p>
      <w:r>
        <w:rPr>
          <w:b/>
        </w:rPr>
        <w:t>Submittal No: DC1-16-DBR-0201-R0    Rev: R0    Discipline: Electrical</w:t>
      </w:r>
    </w:p>
    <w:p>
      <w:r>
        <w:rPr>
          <w:i/>
        </w:rPr>
        <w:t>Project: DC1 — Hyperscale Data Centre, Chennai · 48 MW · Tier III (N+1)</w:t>
      </w:r>
    </w:p>
    <w:p>
      <w:r>
        <w:t>Contractor: Sterling &amp; Wilson (Electrical) / L&amp;T Construction (Civil)</w:t>
      </w:r>
    </w:p>
    <w:p/>
    <w:p>
      <w:r>
        <w:t>This addendum extends DC1-02-DBR-0001 to cover the earthing and low-voltage distribution basis for the 2N standby generator plant (feeding DC1-04-EL-020, DRUPS 2.5MW) and its associated switchroom, ahead of the L1 factory acceptance test. It should be read together with the primary Design Basis Report.</w:t>
      </w:r>
    </w:p>
    <w:p>
      <w:pPr>
        <w:pStyle w:val="Heading2"/>
      </w:pPr>
      <w:r>
        <w:t>General Notes</w:t>
      </w:r>
    </w:p>
    <w:p>
      <w:r>
        <w:t>General Note 1: The standby generator frame is earthed by 1 distinct connection with earth, run in 70 sq mm copper conductor to the yard earth grid.</w:t>
      </w:r>
    </w:p>
    <w:p>
      <w:r>
        <w:t>General Note 2: The standby generator neutral point is earthed by 1 separate connection to the yard earth grid, pending installation of a second independent conductor.</w:t>
      </w:r>
    </w:p>
    <w:p>
      <w:r>
        <w:t>General Note 3: The measured earth grid resistance at the generator yard is 2.5 ohm.</w:t>
      </w:r>
    </w:p>
    <w:p>
      <w:r>
        <w:t>General Note 4: Socket-outlet circuits in the generator control room are protected by a residual current device rated at 25 mA.</w:t>
      </w:r>
    </w:p>
    <w:p>
      <w:r>
        <w:t>General Note 5: All cable containment in the generator switchroom shall be hot-dip galvanised per the primary Design Basis Report's General Note 5 conventions.</w:t>
      </w:r>
    </w:p>
    <w:p/>
    <w:p>
      <w:r>
        <w:rPr>
          <w:sz w:val="18"/>
        </w:rPr>
        <w:t>Prepared by: Sterling &amp; Wilson Electrical Design Office</w:t>
      </w:r>
    </w:p>
    <w:p>
      <w:r>
        <w:rPr>
          <w:sz w:val="18"/>
        </w:rPr>
        <w:t>For review against DC1 Compliance Agent baseline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