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rtl w:val="0"/>
        </w:rPr>
        <w:t xml:space="preserve">R&amp;I Best Practices for 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8"/>
          <w:szCs w:val="28"/>
          <w:rtl w:val="0"/>
        </w:rPr>
        <w:t xml:space="preserve">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uc6q0k08dmn" w:id="2"/>
      <w:bookmarkEnd w:id="2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00hhkq0r70h" w:id="3"/>
      <w:bookmarkEnd w:id="3"/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Riad Bacchus and Jeremiah Chuang have the input on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</w:rPr>
      </w:pPr>
      <w:bookmarkStart w:colFirst="0" w:colLast="0" w:name="_5zbb7gz2tbac" w:id="4"/>
      <w:bookmarkEnd w:id="4"/>
      <w:r w:rsidDel="00000000" w:rsidR="00000000" w:rsidRPr="00000000">
        <w:rPr>
          <w:rtl w:val="0"/>
        </w:rPr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Cheryl Mackinnon sets priorities and can override anything in this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k8hye7s9rlr" w:id="5"/>
      <w:bookmarkEnd w:id="5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Google Cloud for reporting and insights workflows and methods has some non-intuitive processes. These are detailed here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Microsoft will be totally gone in October. Some R&amp;I team members will retain access to things such as Excel &amp; Power 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6"/>
      <w:bookmarkEnd w:id="6"/>
      <w:r w:rsidDel="00000000" w:rsidR="00000000" w:rsidRPr="00000000">
        <w:rPr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3c78d8"/>
          <w:sz w:val="28"/>
          <w:szCs w:val="28"/>
        </w:rPr>
      </w:pPr>
      <w:bookmarkStart w:colFirst="0" w:colLast="0" w:name="_jltys38rhgql" w:id="7"/>
      <w:bookmarkEnd w:id="7"/>
      <w:r w:rsidDel="00000000" w:rsidR="00000000" w:rsidRPr="00000000">
        <w:rPr>
          <w:rtl w:val="0"/>
        </w:rPr>
        <w:t xml:space="preserve">Power BI License &amp;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Developer can either have Power BI Premium per User (PPU) or Power BI Pro license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Developer needs access to workspaces for Dataflows, testing, and production environments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Recommended, but Optional: The Developer may need ability to export files (.pbix and .xlsx)</w:t>
      </w:r>
    </w:p>
    <w:p w:rsidR="00000000" w:rsidDel="00000000" w:rsidP="00000000" w:rsidRDefault="00000000" w:rsidRPr="00000000" w14:paraId="00000011">
      <w:pPr>
        <w:pStyle w:val="Heading2"/>
        <w:rPr>
          <w:color w:val="3c78d8"/>
        </w:rPr>
      </w:pPr>
      <w:bookmarkStart w:colFirst="0" w:colLast="0" w:name="_4h2sktrm987u" w:id="8"/>
      <w:bookmarkEnd w:id="8"/>
      <w:r w:rsidDel="00000000" w:rsidR="00000000" w:rsidRPr="00000000">
        <w:rPr>
          <w:rtl w:val="0"/>
        </w:rPr>
        <w:t xml:space="preserve">Google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takes care of this Just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itservicedesk@saddleback.com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</w:rPr>
      </w:pPr>
      <w:bookmarkStart w:colFirst="0" w:colLast="0" w:name="_6x8rkjwa8fzc" w:id="9"/>
      <w:bookmarkEnd w:id="9"/>
      <w:r w:rsidDel="00000000" w:rsidR="00000000" w:rsidRPr="00000000">
        <w:rPr>
          <w:rtl w:val="0"/>
        </w:rPr>
        <w:t xml:space="preserve">Google Drive access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takes care of this. Just 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itservicedesk@saddleback.com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6s2hdinxuiev" w:id="10"/>
      <w:bookmarkEnd w:id="10"/>
      <w:r w:rsidDel="00000000" w:rsidR="00000000" w:rsidRPr="00000000">
        <w:rPr>
          <w:rtl w:val="0"/>
        </w:rPr>
        <w:t xml:space="preserve">Cutover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iiru727nxri" w:id="11"/>
      <w:bookmarkEnd w:id="11"/>
      <w:r w:rsidDel="00000000" w:rsidR="00000000" w:rsidRPr="00000000">
        <w:rPr>
          <w:rtl w:val="0"/>
        </w:rPr>
        <w:t xml:space="preserve">File storage</w:t>
      </w:r>
    </w:p>
    <w:p w:rsidR="00000000" w:rsidDel="00000000" w:rsidP="00000000" w:rsidRDefault="00000000" w:rsidRPr="00000000" w14:paraId="00000017">
      <w:pPr>
        <w:pStyle w:val="Heading1"/>
        <w:rPr>
          <w:b w:val="0"/>
          <w:i w:val="1"/>
          <w:sz w:val="22"/>
          <w:szCs w:val="22"/>
        </w:rPr>
      </w:pPr>
      <w:bookmarkStart w:colFirst="0" w:colLast="0" w:name="_mma7hc6yg3y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0"/>
          <w:i w:val="1"/>
          <w:sz w:val="22"/>
          <w:szCs w:val="22"/>
        </w:rPr>
      </w:pPr>
      <w:bookmarkStart w:colFirst="0" w:colLast="0" w:name="_g2wce8jpfrcc" w:id="13"/>
      <w:bookmarkEnd w:id="13"/>
      <w:r w:rsidDel="00000000" w:rsidR="00000000" w:rsidRPr="00000000">
        <w:rPr>
          <w:b w:val="0"/>
          <w:i w:val="1"/>
          <w:sz w:val="22"/>
          <w:szCs w:val="22"/>
        </w:rPr>
        <w:drawing>
          <wp:inline distB="114300" distT="114300" distL="114300" distR="114300">
            <wp:extent cx="1485900" cy="1933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i w:val="1"/>
          <w:sz w:val="22"/>
          <w:szCs w:val="22"/>
        </w:rPr>
        <w:drawing>
          <wp:inline distB="114300" distT="114300" distL="114300" distR="114300">
            <wp:extent cx="2124075" cy="243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9716" r="0" t="588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: Egnyte/Sharepoint/local computer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: Shared Google Drive File repositories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For .pbix reports: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Report Version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For Data sources: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Data Sources for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c1w8jcvsesj4" w:id="14"/>
      <w:bookmarkEnd w:id="14"/>
      <w:r w:rsidDel="00000000" w:rsidR="00000000" w:rsidRPr="00000000">
        <w:rPr>
          <w:rtl w:val="0"/>
        </w:rPr>
        <w:t xml:space="preserve">Converting Excel documents to Google Sheets</w:t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Power BI to Google Sheets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Comments on Power Query formatting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Nulls turn into blanks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rows in the Google Sheet become rows in Power Query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these out in Power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b0awny335gkh" w:id="15"/>
      <w:bookmarkEnd w:id="15"/>
      <w:r w:rsidDel="00000000" w:rsidR="00000000" w:rsidRPr="00000000">
        <w:rPr>
          <w:rtl w:val="0"/>
        </w:rPr>
        <w:t xml:space="preserve">New Methods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cspgdpuo0hi" w:id="16"/>
      <w:bookmarkEnd w:id="16"/>
      <w:r w:rsidDel="00000000" w:rsidR="00000000" w:rsidRPr="00000000">
        <w:rPr>
          <w:rtl w:val="0"/>
        </w:rPr>
        <w:t xml:space="preserve">Chat and Collaboration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12" w:lineRule="auto"/>
        <w:ind w:left="720" w:right="0" w:hanging="360"/>
        <w:jc w:val="left"/>
        <w:rPr>
          <w:b w:val="0"/>
          <w:color w:val="353744"/>
          <w:sz w:val="22"/>
          <w:szCs w:val="22"/>
          <w:u w:val="none"/>
        </w:rPr>
      </w:pPr>
      <w:r w:rsidDel="00000000" w:rsidR="00000000" w:rsidRPr="00000000">
        <w:rPr>
          <w:b w:val="0"/>
          <w:color w:val="353744"/>
          <w:sz w:val="22"/>
          <w:szCs w:val="22"/>
          <w:rtl w:val="0"/>
        </w:rPr>
        <w:t xml:space="preserve">Google doesn't have the ability to name a group chat.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0"/>
          <w:color w:val="353744"/>
          <w:sz w:val="22"/>
          <w:szCs w:val="22"/>
          <w:rtl w:val="0"/>
        </w:rPr>
        <w:t xml:space="preserve">However, we could convert this group chat into a Space, which would facilitate chat, threads, and file sharing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i w:val="1"/>
          <w:color w:val="353744"/>
          <w:sz w:val="22"/>
          <w:szCs w:val="22"/>
          <w:rtl w:val="0"/>
        </w:rPr>
        <w:t xml:space="preserve">Only if we need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color w:val="666666"/>
        </w:rPr>
      </w:pPr>
      <w:bookmarkStart w:colFirst="0" w:colLast="0" w:name="_kyf070mxatl" w:id="17"/>
      <w:bookmarkEnd w:id="17"/>
      <w:r w:rsidDel="00000000" w:rsidR="00000000" w:rsidRPr="00000000">
        <w:rPr>
          <w:rtl w:val="0"/>
        </w:rPr>
        <w:t xml:space="preserve">File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Google Sheets require certain permissions for Share &gt; Link &gt; Manage Access. Depending on if any users are external to the organization, they may need the Google Sheet to be open to “Anyone with the link”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466782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466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1supbogr8bh1" w:id="18"/>
      <w:bookmarkEnd w:id="18"/>
      <w:r w:rsidDel="00000000" w:rsidR="00000000" w:rsidRPr="00000000">
        <w:rPr>
          <w:rtl w:val="0"/>
        </w:rPr>
        <w:t xml:space="preserve">Desktop to Drive Integration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Google Drive can sync folders on your computer with those in your Drive so you don’t have to manage multiple copies of files.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  <w:t xml:space="preserve"> when prompted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Access</w:t>
        </w:r>
      </w:hyperlink>
      <w:r w:rsidDel="00000000" w:rsidR="00000000" w:rsidRPr="00000000">
        <w:rPr>
          <w:rtl w:val="0"/>
        </w:rPr>
        <w:t xml:space="preserve"> or Add folders/files to your new Google Drive (G:) &gt; My Drive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Gear &gt; Preferences &gt; Syncing options &gt; select “Mirror Files”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Reports are large files, which means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Streaming (default)</w:t>
        </w:r>
      </w:hyperlink>
      <w:r w:rsidDel="00000000" w:rsidR="00000000" w:rsidRPr="00000000">
        <w:rPr>
          <w:rtl w:val="0"/>
        </w:rPr>
        <w:t xml:space="preserve"> has longer sync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2525174" cy="1366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73016" l="1190" r="70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174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4062413" cy="22197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29509" l="0" r="3685" t="5389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21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9ooddsxgkxx" w:id="19"/>
      <w:bookmarkEnd w:id="19"/>
      <w:r w:rsidDel="00000000" w:rsidR="00000000" w:rsidRPr="00000000">
        <w:rPr>
          <w:rtl w:val="0"/>
        </w:rPr>
        <w:t xml:space="preserve">Report Development and revisions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for each report, Google Drive has a file folder structure for these 4 folders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01_Report Repository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02_Report Objects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88_Testing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99_Production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.pbix from Google Drive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Version Control process and update hidden pages within .pbix.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PBI Version Control Process v2.pdf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versions to Google Drive as .pbit for backup into 01_Report Repository (each report should have this folder)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QA in (DEV) workspaces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Same as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Visualization</w:t>
      </w:r>
    </w:p>
    <w:p w:rsidR="00000000" w:rsidDel="00000000" w:rsidP="00000000" w:rsidRDefault="00000000" w:rsidRPr="00000000" w14:paraId="00000040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 xml:space="preserve">Same as before. See this folder for standard guidelines: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Power BI Report 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b w:val="0"/>
          <w:sz w:val="22"/>
          <w:szCs w:val="22"/>
        </w:rPr>
      </w:pPr>
      <w:bookmarkStart w:colFirst="0" w:colLast="0" w:name="_88abdd7pi4t3" w:id="20"/>
      <w:bookmarkEnd w:id="20"/>
      <w:r w:rsidDel="00000000" w:rsidR="00000000" w:rsidRPr="00000000">
        <w:rPr>
          <w:color w:val="666666"/>
          <w:rtl w:val="0"/>
        </w:rPr>
        <w:t xml:space="preserve">Deploying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8a224238osmg" w:id="21"/>
      <w:bookmarkEnd w:id="21"/>
      <w:r w:rsidDel="00000000" w:rsidR="00000000" w:rsidRPr="00000000">
        <w:rPr>
          <w:rtl w:val="0"/>
        </w:rPr>
        <w:t xml:space="preserve">Power BI Service (Browser based)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a semantic model is using Google Sheets, then the credentials have to be input into the settings.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92xcd2x33yz" w:id="22"/>
      <w:bookmarkEnd w:id="22"/>
      <w:r w:rsidDel="00000000" w:rsidR="00000000" w:rsidRPr="00000000">
        <w:rPr>
          <w:rtl w:val="0"/>
        </w:rPr>
        <w:t xml:space="preserve">Exports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Currently the Power</w:t>
      </w:r>
      <w:r w:rsidDel="00000000" w:rsidR="00000000" w:rsidRPr="00000000">
        <w:rPr>
          <w:rtl w:val="0"/>
        </w:rPr>
        <w:t xml:space="preserve"> BI button for Export data produces a file in Excel. The best user experience would convert these extracts into Google Sheets seamlessly. </w:t>
      </w:r>
    </w:p>
    <w:p w:rsidR="00000000" w:rsidDel="00000000" w:rsidP="00000000" w:rsidRDefault="00000000" w:rsidRPr="00000000" w14:paraId="00000046">
      <w:pPr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Power BI to Google Sheets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hg0yma181gd" w:id="23"/>
      <w:bookmarkEnd w:id="23"/>
      <w:r w:rsidDel="00000000" w:rsidR="00000000" w:rsidRPr="00000000">
        <w:rPr>
          <w:rtl w:val="0"/>
        </w:rPr>
        <w:t xml:space="preserve">Potential Ideas to try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sheets can make templates. We could use this to standardize visuals on extracts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jc w:val="center"/>
        <w:rPr>
          <w:rFonts w:ascii="Arial" w:cs="Arial" w:eastAsia="Arial" w:hAnsi="Arial"/>
          <w:color w:val="222222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color w:val="222222"/>
          <w:sz w:val="72"/>
          <w:szCs w:val="72"/>
          <w:rtl w:val="0"/>
        </w:rPr>
        <w:t xml:space="preserve">Work in progress page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Stuff you can do now BEFORE go-live: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hd w:fill="ffffff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Use 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chat.google.com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, not </w:t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hd w:fill="ffffff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rtl w:val="0"/>
        </w:rPr>
        <w:t xml:space="preserve">Spaces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External member access: Set only at creation</w:t>
      </w:r>
    </w:p>
    <w:p w:rsidR="00000000" w:rsidDel="00000000" w:rsidP="00000000" w:rsidRDefault="00000000" w:rsidRPr="00000000" w14:paraId="00000050">
      <w:pPr>
        <w:numPr>
          <w:ilvl w:val="2"/>
          <w:numId w:val="9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Enables "Copy link to this space" button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a method to focus conversations &amp; Reduce notifications for other team members.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Configurable notifications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MEET: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Intuitive interface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Auto-frame camera setting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rtl w:val="0"/>
        </w:rPr>
        <w:t xml:space="preserve">Companion Mode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For conference rooms, no audio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Calendar integration:</w:t>
      </w:r>
    </w:p>
    <w:p w:rsidR="00000000" w:rsidDel="00000000" w:rsidP="00000000" w:rsidRDefault="00000000" w:rsidRPr="00000000" w14:paraId="00000058">
      <w:pPr>
        <w:numPr>
          <w:ilvl w:val="2"/>
          <w:numId w:val="14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Meet options in G-Cal events</w:t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spacing w:after="0" w:afterAutospacing="0" w:before="0" w:beforeAutospacing="0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Attachments visible in Meet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R&amp;I team will Use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rtl w:val="0"/>
        </w:rPr>
        <w:t xml:space="preserve">Contributors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, not Viewers role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AFTER go-live: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hd w:fill="ffffff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Best practice: continue to use </w:t>
      </w: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chat.google.com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, not </w:t>
      </w: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hd w:fill="ffffff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Strong recommendation: Switch to Chrome browser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Import bookmarks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fffff" w:val="clear"/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Ep3se4Ju_khYNchofEl3ZCM20zuFVFav/view?usp=drive_link" TargetMode="External"/><Relationship Id="rId22" Type="http://schemas.openxmlformats.org/officeDocument/2006/relationships/hyperlink" Target="https://docs.google.com/document/d/1NofWVdpc-_ZErz_t6dGTXN0vSWjj9R7lpg6o3pIXg64/edit?usp=sharing" TargetMode="External"/><Relationship Id="rId21" Type="http://schemas.openxmlformats.org/officeDocument/2006/relationships/hyperlink" Target="https://drive.google.com/drive/folders/1PY7gEnQOi2jdAzU_O63IbP1IRAm9VIRC?usp=drive_link" TargetMode="External"/><Relationship Id="rId24" Type="http://schemas.openxmlformats.org/officeDocument/2006/relationships/hyperlink" Target="http://gmail.com/" TargetMode="External"/><Relationship Id="rId23" Type="http://schemas.openxmlformats.org/officeDocument/2006/relationships/hyperlink" Target="http://chat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://gmail.com/" TargetMode="External"/><Relationship Id="rId25" Type="http://schemas.openxmlformats.org/officeDocument/2006/relationships/hyperlink" Target="http://chat.google.com/" TargetMode="External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itservicedesk@saddleback.com" TargetMode="External"/><Relationship Id="rId29" Type="http://schemas.openxmlformats.org/officeDocument/2006/relationships/footer" Target="footer2.xml"/><Relationship Id="rId7" Type="http://schemas.openxmlformats.org/officeDocument/2006/relationships/hyperlink" Target="mailto:itservicedesk@saddleback.com" TargetMode="External"/><Relationship Id="rId8" Type="http://schemas.openxmlformats.org/officeDocument/2006/relationships/image" Target="media/image1.png"/><Relationship Id="rId30" Type="http://schemas.openxmlformats.org/officeDocument/2006/relationships/footer" Target="footer1.xml"/><Relationship Id="rId11" Type="http://schemas.openxmlformats.org/officeDocument/2006/relationships/hyperlink" Target="https://drive.google.com/drive/folders/1XpdH88Qudlbl1nhPYP5DFPf06KDLtWiy?usp=drive_link" TargetMode="External"/><Relationship Id="rId10" Type="http://schemas.openxmlformats.org/officeDocument/2006/relationships/hyperlink" Target="https://drive.google.com/drive/folders/1OXIYo832jqS85MZihAn2stGflIV09Jzw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docs.google.com/document/d/1NofWVdpc-_ZErz_t6dGTXN0vSWjj9R7lpg6o3pIXg64/edit?usp=sharing" TargetMode="External"/><Relationship Id="rId15" Type="http://schemas.openxmlformats.org/officeDocument/2006/relationships/hyperlink" Target="https://support.google.com/drive/answer/10838124?hl=en#zippy=%2Csign-in-to-drive-for-desktop" TargetMode="External"/><Relationship Id="rId14" Type="http://schemas.openxmlformats.org/officeDocument/2006/relationships/hyperlink" Target="https://support.google.com/drive/answer/10838124?hl=en#zippy=%2Cinstall-set-up-drive-for-desktop-for-windows" TargetMode="External"/><Relationship Id="rId17" Type="http://schemas.openxmlformats.org/officeDocument/2006/relationships/hyperlink" Target="https://support.google.com/drive/answer/13401938?sjid=11225657653444883599-NC" TargetMode="External"/><Relationship Id="rId16" Type="http://schemas.openxmlformats.org/officeDocument/2006/relationships/hyperlink" Target="https://support.google.com/drive/answer/10838124?hl=en#zippy=%2Caccess-your-files-when-theyre-synced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