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3396B5" w14:textId="1FC1C3C4" w:rsidR="003F3A30" w:rsidRPr="00A872F8" w:rsidRDefault="003F3A30" w:rsidP="00F23B6F">
      <w:pPr>
        <w:tabs>
          <w:tab w:val="left" w:pos="1515"/>
        </w:tabs>
        <w:rPr>
          <w:b/>
          <w:bCs/>
        </w:rPr>
      </w:pPr>
      <w:r w:rsidRPr="00A872F8">
        <w:rPr>
          <w:b/>
          <w:bCs/>
        </w:rPr>
        <w:t>Venous Thromboembolism (VTE) in Covid-19 Patients</w:t>
      </w:r>
    </w:p>
    <w:p w14:paraId="1AFE5461" w14:textId="0C2D93C6" w:rsidR="00E9458A" w:rsidRDefault="00637E8E" w:rsidP="00637E8E">
      <w:pPr>
        <w:pStyle w:val="ListParagraph"/>
        <w:numPr>
          <w:ilvl w:val="0"/>
          <w:numId w:val="1"/>
        </w:numPr>
        <w:tabs>
          <w:tab w:val="left" w:pos="1515"/>
        </w:tabs>
      </w:pPr>
      <w:r>
        <w:rPr>
          <w:noProof/>
        </w:rPr>
        <w:drawing>
          <wp:anchor distT="0" distB="0" distL="114300" distR="114300" simplePos="0" relativeHeight="251657216" behindDoc="0" locked="0" layoutInCell="1" allowOverlap="1" wp14:anchorId="5A8572B0" wp14:editId="0FA4100C">
            <wp:simplePos x="0" y="0"/>
            <wp:positionH relativeFrom="column">
              <wp:posOffset>-9525</wp:posOffset>
            </wp:positionH>
            <wp:positionV relativeFrom="paragraph">
              <wp:posOffset>792480</wp:posOffset>
            </wp:positionV>
            <wp:extent cx="2406650" cy="1051560"/>
            <wp:effectExtent l="0" t="0" r="0" b="0"/>
            <wp:wrapSquare wrapText="bothSides"/>
            <wp:docPr id="2" name="Picture 2" descr="A screenshot of a computer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A screenshot of a computer&#10;&#10;Description automatically generated with low confidence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665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F3A30">
        <w:t>VTE is a common in hospitalized covid-19 patients</w:t>
      </w:r>
      <w:r w:rsidR="00FC1E19">
        <w:t xml:space="preserve"> with and incidence risk of </w:t>
      </w:r>
      <w:r w:rsidR="00E9458A">
        <w:t>42</w:t>
      </w:r>
      <w:r w:rsidR="00FC1E19">
        <w:t xml:space="preserve">% in the absence of risk reduction. </w:t>
      </w:r>
    </w:p>
    <w:p w14:paraId="7ECD5FF9" w14:textId="77777777" w:rsidR="009F0184" w:rsidRDefault="009F0184" w:rsidP="009F0184">
      <w:pPr>
        <w:pStyle w:val="ListParagraph"/>
        <w:tabs>
          <w:tab w:val="left" w:pos="1515"/>
        </w:tabs>
      </w:pPr>
    </w:p>
    <w:p w14:paraId="199F3A09" w14:textId="3DEA8031" w:rsidR="00FC1E19" w:rsidRDefault="009F0184" w:rsidP="003F3A30">
      <w:pPr>
        <w:pStyle w:val="ListParagraph"/>
        <w:numPr>
          <w:ilvl w:val="0"/>
          <w:numId w:val="1"/>
        </w:numPr>
        <w:tabs>
          <w:tab w:val="left" w:pos="1515"/>
        </w:tabs>
      </w:pPr>
      <w:r>
        <w:t xml:space="preserve">VTE </w:t>
      </w:r>
      <w:r w:rsidR="00FC1E19">
        <w:t xml:space="preserve">is a preventable cause of mobility and motility </w:t>
      </w:r>
      <w:r>
        <w:t>in hospitalized patients with Covid-19</w:t>
      </w:r>
    </w:p>
    <w:p w14:paraId="13DC6C01" w14:textId="746A29D6" w:rsidR="00FC1E19" w:rsidRDefault="00FC1E19" w:rsidP="003F3A30">
      <w:pPr>
        <w:pStyle w:val="ListParagraph"/>
        <w:numPr>
          <w:ilvl w:val="0"/>
          <w:numId w:val="1"/>
        </w:numPr>
        <w:tabs>
          <w:tab w:val="left" w:pos="1515"/>
        </w:tabs>
      </w:pPr>
      <w:r>
        <w:t>Appropriate VTE prophylaxis can significantly mitigate the events of VTE</w:t>
      </w:r>
    </w:p>
    <w:p w14:paraId="27D3FCA4" w14:textId="30FB0C78" w:rsidR="00FC1E19" w:rsidRPr="00A872F8" w:rsidRDefault="00FC1E19" w:rsidP="00FC1E19">
      <w:pPr>
        <w:tabs>
          <w:tab w:val="left" w:pos="1515"/>
        </w:tabs>
        <w:rPr>
          <w:b/>
          <w:bCs/>
        </w:rPr>
      </w:pPr>
      <w:r w:rsidRPr="00A872F8">
        <w:rPr>
          <w:b/>
          <w:bCs/>
        </w:rPr>
        <w:t>Risk factors for VTE in covid-19 patients</w:t>
      </w:r>
    </w:p>
    <w:p w14:paraId="19CAC7BD" w14:textId="77777777" w:rsidR="00E9458A" w:rsidRDefault="00E9458A" w:rsidP="00E9458A">
      <w:pPr>
        <w:pStyle w:val="ListParagraph"/>
        <w:numPr>
          <w:ilvl w:val="0"/>
          <w:numId w:val="2"/>
        </w:numPr>
        <w:tabs>
          <w:tab w:val="left" w:pos="1515"/>
        </w:tabs>
      </w:pPr>
      <w:r>
        <w:t>Disease burden</w:t>
      </w:r>
    </w:p>
    <w:p w14:paraId="3566AECA" w14:textId="7B2EA633" w:rsidR="00E9458A" w:rsidRDefault="00BF3CFB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 xml:space="preserve">Critical </w:t>
      </w:r>
      <w:r w:rsidR="00E9458A">
        <w:t>or acute illness</w:t>
      </w:r>
      <w:r>
        <w:t xml:space="preserve"> </w:t>
      </w:r>
    </w:p>
    <w:p w14:paraId="11A5A6D8" w14:textId="2DE6FF3D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H</w:t>
      </w:r>
      <w:r w:rsidR="00BF3CFB">
        <w:t>ypoxia</w:t>
      </w:r>
    </w:p>
    <w:p w14:paraId="7ACBBCCD" w14:textId="62F0A8D4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Stasis</w:t>
      </w:r>
    </w:p>
    <w:p w14:paraId="4589C5E0" w14:textId="01192E82" w:rsidR="009F0184" w:rsidRDefault="009F0184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Fever</w:t>
      </w:r>
    </w:p>
    <w:p w14:paraId="6C92189C" w14:textId="26EB7E27" w:rsidR="009F0184" w:rsidRDefault="009F0184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Diarrhea</w:t>
      </w:r>
    </w:p>
    <w:p w14:paraId="589CB826" w14:textId="77777777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Liver injury</w:t>
      </w:r>
    </w:p>
    <w:p w14:paraId="6A7FCECB" w14:textId="1422FD2A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Sepsis</w:t>
      </w:r>
    </w:p>
    <w:p w14:paraId="6260BDBA" w14:textId="77777777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CKD</w:t>
      </w:r>
    </w:p>
    <w:p w14:paraId="13B19D28" w14:textId="77777777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COPD</w:t>
      </w:r>
    </w:p>
    <w:p w14:paraId="777031F9" w14:textId="77777777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HF</w:t>
      </w:r>
    </w:p>
    <w:p w14:paraId="022958F7" w14:textId="310B6517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Malignancy</w:t>
      </w:r>
      <w:r w:rsidR="00BF3CFB">
        <w:t xml:space="preserve"> </w:t>
      </w:r>
    </w:p>
    <w:p w14:paraId="2A1A36AE" w14:textId="4A2BBECB" w:rsidR="00FC1E19" w:rsidRDefault="00E9458A" w:rsidP="00E9458A">
      <w:pPr>
        <w:pStyle w:val="ListParagraph"/>
        <w:numPr>
          <w:ilvl w:val="0"/>
          <w:numId w:val="2"/>
        </w:numPr>
        <w:tabs>
          <w:tab w:val="left" w:pos="1515"/>
        </w:tabs>
      </w:pPr>
      <w:r>
        <w:t>S</w:t>
      </w:r>
      <w:r w:rsidR="00BF3CFB">
        <w:t>evere inflammatory response</w:t>
      </w:r>
    </w:p>
    <w:p w14:paraId="0B433C14" w14:textId="63B59D02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Lymphopenia</w:t>
      </w:r>
    </w:p>
    <w:p w14:paraId="49554C30" w14:textId="3332B90E" w:rsidR="00E9458A" w:rsidRDefault="00E9458A" w:rsidP="00E9458A">
      <w:pPr>
        <w:pStyle w:val="ListParagraph"/>
        <w:numPr>
          <w:ilvl w:val="1"/>
          <w:numId w:val="2"/>
        </w:numPr>
        <w:tabs>
          <w:tab w:val="left" w:pos="1515"/>
        </w:tabs>
      </w:pPr>
      <w:r>
        <w:t>Increase IL-6, CRP</w:t>
      </w:r>
    </w:p>
    <w:p w14:paraId="49C435F3" w14:textId="0690D6BF" w:rsidR="00D5533B" w:rsidRDefault="00BF3CFB" w:rsidP="00637E8E">
      <w:pPr>
        <w:pStyle w:val="ListParagraph"/>
        <w:numPr>
          <w:ilvl w:val="0"/>
          <w:numId w:val="2"/>
        </w:numPr>
        <w:tabs>
          <w:tab w:val="left" w:pos="1515"/>
        </w:tabs>
      </w:pPr>
      <w:r>
        <w:t>Increased D-dimer, fibrinogen, prolonged prothrombin and prothrombin time</w:t>
      </w:r>
      <w:r w:rsidR="00A872F8">
        <w:t xml:space="preserve"> and </w:t>
      </w:r>
      <w:r>
        <w:t>mild thrombocytopenia</w:t>
      </w:r>
    </w:p>
    <w:p w14:paraId="6437AC72" w14:textId="77777777" w:rsidR="00D5533B" w:rsidRDefault="00D5533B" w:rsidP="00637E8E">
      <w:pPr>
        <w:tabs>
          <w:tab w:val="left" w:pos="1515"/>
        </w:tabs>
      </w:pPr>
    </w:p>
    <w:p w14:paraId="4358F77C" w14:textId="629AB5A7" w:rsidR="00637E8E" w:rsidRPr="00A872F8" w:rsidRDefault="00D5533B" w:rsidP="00637E8E">
      <w:pPr>
        <w:tabs>
          <w:tab w:val="left" w:pos="1515"/>
        </w:tabs>
        <w:rPr>
          <w:b/>
          <w:bCs/>
        </w:rPr>
      </w:pPr>
      <w:r w:rsidRPr="00A872F8">
        <w:rPr>
          <w:b/>
          <w:bCs/>
        </w:rPr>
        <w:t>Management: Inpatient VTE prophylaxis</w:t>
      </w:r>
    </w:p>
    <w:p w14:paraId="0F0A4B12" w14:textId="45D9B023" w:rsidR="00637E8E" w:rsidRPr="00A872F8" w:rsidRDefault="00637E8E" w:rsidP="00637E8E">
      <w:pPr>
        <w:tabs>
          <w:tab w:val="left" w:pos="1515"/>
        </w:tabs>
        <w:rPr>
          <w:b/>
          <w:bCs/>
        </w:rPr>
      </w:pPr>
      <w:r w:rsidRPr="00A872F8">
        <w:rPr>
          <w:b/>
          <w:bCs/>
        </w:rPr>
        <w:t xml:space="preserve">UIHC protocol </w:t>
      </w:r>
      <w:r w:rsidR="00D5533B" w:rsidRPr="00A872F8">
        <w:rPr>
          <w:b/>
          <w:bCs/>
        </w:rPr>
        <w:t>(see page 2)</w:t>
      </w:r>
    </w:p>
    <w:p w14:paraId="4B46FA78" w14:textId="7D039991" w:rsidR="00D5533B" w:rsidRDefault="00D5533B" w:rsidP="00637E8E">
      <w:pPr>
        <w:tabs>
          <w:tab w:val="left" w:pos="1515"/>
        </w:tabs>
      </w:pPr>
    </w:p>
    <w:p w14:paraId="0E2756ED" w14:textId="537AEEE6" w:rsidR="00D5533B" w:rsidRPr="00A872F8" w:rsidRDefault="00D5533B" w:rsidP="00637E8E">
      <w:pPr>
        <w:tabs>
          <w:tab w:val="left" w:pos="1515"/>
        </w:tabs>
        <w:rPr>
          <w:b/>
          <w:bCs/>
        </w:rPr>
      </w:pPr>
      <w:r w:rsidRPr="00A872F8">
        <w:rPr>
          <w:b/>
          <w:bCs/>
        </w:rPr>
        <w:t>Guidelines: Summary of Recommendations</w:t>
      </w:r>
    </w:p>
    <w:p w14:paraId="36BBE0A5" w14:textId="335361E7" w:rsidR="00D5533B" w:rsidRDefault="00A872F8" w:rsidP="00A872F8">
      <w:pPr>
        <w:pStyle w:val="ListParagraph"/>
        <w:numPr>
          <w:ilvl w:val="0"/>
          <w:numId w:val="4"/>
        </w:numPr>
        <w:tabs>
          <w:tab w:val="left" w:pos="1515"/>
        </w:tabs>
      </w:pPr>
      <w:r>
        <w:t>American society of hematology (ASH)</w:t>
      </w:r>
    </w:p>
    <w:p w14:paraId="20DFBC8D" w14:textId="77777777" w:rsidR="009F0184" w:rsidRDefault="009F0184" w:rsidP="009F0184">
      <w:pPr>
        <w:pStyle w:val="ListParagraph"/>
        <w:tabs>
          <w:tab w:val="left" w:pos="1515"/>
        </w:tabs>
      </w:pPr>
    </w:p>
    <w:p w14:paraId="2393DC79" w14:textId="04370ADE" w:rsidR="00A872F8" w:rsidRDefault="00A872F8" w:rsidP="00A872F8">
      <w:pPr>
        <w:tabs>
          <w:tab w:val="left" w:pos="1515"/>
        </w:tabs>
        <w:ind w:left="360"/>
      </w:pPr>
      <w:r>
        <w:rPr>
          <w:noProof/>
        </w:rPr>
        <w:drawing>
          <wp:inline distT="0" distB="0" distL="0" distR="0" wp14:anchorId="55C843F7" wp14:editId="158AADB7">
            <wp:extent cx="2430780" cy="1604645"/>
            <wp:effectExtent l="0" t="0" r="7620" b="0"/>
            <wp:docPr id="3" name="Picture 3" descr="Graphical user interfa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Graphical user interface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0780" cy="1604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409208" w14:textId="77777777" w:rsidR="00A872F8" w:rsidRDefault="00A872F8" w:rsidP="00A872F8">
      <w:pPr>
        <w:pStyle w:val="ListParagraph"/>
        <w:tabs>
          <w:tab w:val="left" w:pos="1515"/>
        </w:tabs>
      </w:pPr>
    </w:p>
    <w:p w14:paraId="00525B50" w14:textId="4A97327C" w:rsidR="00A872F8" w:rsidRDefault="00A872F8" w:rsidP="00A872F8">
      <w:pPr>
        <w:pStyle w:val="ListParagraph"/>
        <w:numPr>
          <w:ilvl w:val="0"/>
          <w:numId w:val="4"/>
        </w:numPr>
        <w:tabs>
          <w:tab w:val="left" w:pos="1515"/>
        </w:tabs>
      </w:pPr>
      <w:r>
        <w:t>CHEST Guideline: Thromboprophylaxis is recommended only during hospitalization. Extended thromboprophylaxis can be considered om the net benefit determined by the bleeding risk.</w:t>
      </w:r>
    </w:p>
    <w:p w14:paraId="40C1B95B" w14:textId="77777777" w:rsidR="009F0184" w:rsidRDefault="009F0184" w:rsidP="00A872F8">
      <w:pPr>
        <w:tabs>
          <w:tab w:val="left" w:pos="1515"/>
        </w:tabs>
        <w:rPr>
          <w:b/>
          <w:bCs/>
        </w:rPr>
      </w:pPr>
    </w:p>
    <w:p w14:paraId="4BFF0629" w14:textId="1C9BF2E1" w:rsidR="00A872F8" w:rsidRPr="00A872F8" w:rsidRDefault="00A872F8" w:rsidP="00A872F8">
      <w:pPr>
        <w:tabs>
          <w:tab w:val="left" w:pos="1515"/>
        </w:tabs>
        <w:rPr>
          <w:b/>
          <w:bCs/>
        </w:rPr>
      </w:pPr>
      <w:r w:rsidRPr="00A872F8">
        <w:rPr>
          <w:b/>
          <w:bCs/>
        </w:rPr>
        <w:t>Other comments</w:t>
      </w:r>
    </w:p>
    <w:p w14:paraId="1BC8AE94" w14:textId="77777777" w:rsidR="00A872F8" w:rsidRDefault="00A872F8" w:rsidP="00A872F8">
      <w:pPr>
        <w:tabs>
          <w:tab w:val="left" w:pos="1515"/>
        </w:tabs>
      </w:pPr>
    </w:p>
    <w:p w14:paraId="57B74626" w14:textId="45766F78" w:rsidR="00D5533B" w:rsidRDefault="00D5533B" w:rsidP="00637E8E">
      <w:pPr>
        <w:tabs>
          <w:tab w:val="left" w:pos="1515"/>
        </w:tabs>
      </w:pPr>
      <w:r>
        <w:t>Indication for full dose anticoagulation should be based of comprehensive clinical assessment</w:t>
      </w:r>
    </w:p>
    <w:p w14:paraId="6B9F1699" w14:textId="5132DAC6" w:rsidR="00D5533B" w:rsidRDefault="00D5533B" w:rsidP="00637E8E">
      <w:pPr>
        <w:tabs>
          <w:tab w:val="left" w:pos="1515"/>
        </w:tabs>
      </w:pPr>
    </w:p>
    <w:p w14:paraId="26FFCD0D" w14:textId="17AE90A0" w:rsidR="00D5533B" w:rsidRDefault="00D5533B" w:rsidP="00637E8E">
      <w:pPr>
        <w:tabs>
          <w:tab w:val="left" w:pos="1515"/>
        </w:tabs>
      </w:pPr>
      <w:r>
        <w:t>Management of bleeding associated with prophylactic anticoagulation should be well established.</w:t>
      </w:r>
    </w:p>
    <w:p w14:paraId="2565605E" w14:textId="77777777" w:rsidR="00D5533B" w:rsidRDefault="00D5533B" w:rsidP="00637E8E">
      <w:pPr>
        <w:tabs>
          <w:tab w:val="left" w:pos="1515"/>
        </w:tabs>
      </w:pPr>
    </w:p>
    <w:p w14:paraId="1ACAF081" w14:textId="69108DB0" w:rsidR="00D5533B" w:rsidRDefault="00D5533B" w:rsidP="00637E8E">
      <w:pPr>
        <w:tabs>
          <w:tab w:val="left" w:pos="1515"/>
        </w:tabs>
      </w:pPr>
      <w:r>
        <w:t>Aspirin/antiplatelet agents have not been shown to improve outcome and use of aspirin increases bleeding risk</w:t>
      </w:r>
    </w:p>
    <w:p w14:paraId="3B1897CB" w14:textId="39840E14" w:rsidR="00D5533B" w:rsidRDefault="00D5533B" w:rsidP="00637E8E">
      <w:pPr>
        <w:tabs>
          <w:tab w:val="left" w:pos="1515"/>
        </w:tabs>
      </w:pPr>
    </w:p>
    <w:p w14:paraId="1A1CEC1C" w14:textId="77777777" w:rsidR="00D5533B" w:rsidRDefault="00D5533B" w:rsidP="00637E8E">
      <w:pPr>
        <w:tabs>
          <w:tab w:val="left" w:pos="1515"/>
        </w:tabs>
      </w:pPr>
    </w:p>
    <w:sectPr w:rsidR="00D5533B" w:rsidSect="00637E8E">
      <w:pgSz w:w="15840" w:h="12240" w:orient="landscape"/>
      <w:pgMar w:top="1440" w:right="1440" w:bottom="1440" w:left="1440" w:header="720" w:footer="720" w:gutter="0"/>
      <w:cols w:num="3" w:sep="1" w:space="737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7DB5FEC"/>
    <w:multiLevelType w:val="hybridMultilevel"/>
    <w:tmpl w:val="611829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116764F"/>
    <w:multiLevelType w:val="hybridMultilevel"/>
    <w:tmpl w:val="F2C40A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9E00E2A"/>
    <w:multiLevelType w:val="hybridMultilevel"/>
    <w:tmpl w:val="78F261A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8A826F4"/>
    <w:multiLevelType w:val="hybridMultilevel"/>
    <w:tmpl w:val="9B7EB6E2"/>
    <w:lvl w:ilvl="0" w:tplc="73E48EE2">
      <w:start w:val="1"/>
      <w:numFmt w:val="upperLetter"/>
      <w:lvlText w:val="%1."/>
      <w:lvlJc w:val="left"/>
      <w:pPr>
        <w:ind w:left="720" w:hanging="360"/>
      </w:pPr>
      <w:rPr>
        <w:rFonts w:asciiTheme="minorHAnsi" w:eastAsiaTheme="minorEastAsia" w:hAnsiTheme="minorHAnsi" w:cstheme="minorBidi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44407"/>
    <w:rsid w:val="0001510C"/>
    <w:rsid w:val="00215C93"/>
    <w:rsid w:val="00310DAC"/>
    <w:rsid w:val="0038730F"/>
    <w:rsid w:val="003C7C35"/>
    <w:rsid w:val="003F3A30"/>
    <w:rsid w:val="00473E29"/>
    <w:rsid w:val="00637E8E"/>
    <w:rsid w:val="007E46DC"/>
    <w:rsid w:val="0095671D"/>
    <w:rsid w:val="009F0184"/>
    <w:rsid w:val="00A872F8"/>
    <w:rsid w:val="00BF3CFB"/>
    <w:rsid w:val="00D5533B"/>
    <w:rsid w:val="00D6387F"/>
    <w:rsid w:val="00E3459D"/>
    <w:rsid w:val="00E44407"/>
    <w:rsid w:val="00E9458A"/>
    <w:rsid w:val="00ED73F9"/>
    <w:rsid w:val="00F23B6F"/>
    <w:rsid w:val="00FC1E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ADCC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44407"/>
    <w:pPr>
      <w:spacing w:after="0" w:line="240" w:lineRule="auto"/>
    </w:pPr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">
    <w:name w:val="paragraph"/>
    <w:basedOn w:val="Normal"/>
    <w:rsid w:val="00E44407"/>
    <w:pPr>
      <w:spacing w:before="100" w:beforeAutospacing="1" w:after="100" w:afterAutospacing="1"/>
    </w:pPr>
    <w:rPr>
      <w:rFonts w:ascii="Calibri" w:hAnsi="Calibri" w:cs="Calibri"/>
    </w:rPr>
  </w:style>
  <w:style w:type="character" w:customStyle="1" w:styleId="textrun">
    <w:name w:val="textrun"/>
    <w:basedOn w:val="DefaultParagraphFont"/>
    <w:rsid w:val="00E44407"/>
  </w:style>
  <w:style w:type="character" w:customStyle="1" w:styleId="bcx0">
    <w:name w:val="bcx0"/>
    <w:basedOn w:val="DefaultParagraphFont"/>
    <w:rsid w:val="00E44407"/>
  </w:style>
  <w:style w:type="character" w:customStyle="1" w:styleId="eop">
    <w:name w:val="eop"/>
    <w:basedOn w:val="DefaultParagraphFont"/>
    <w:rsid w:val="00E44407"/>
  </w:style>
  <w:style w:type="paragraph" w:styleId="ListParagraph">
    <w:name w:val="List Paragraph"/>
    <w:basedOn w:val="Normal"/>
    <w:uiPriority w:val="34"/>
    <w:qFormat/>
    <w:rsid w:val="003F3A3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1985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VTE prophylaxis in covid-19 patients</Template>
  <TotalTime>7</TotalTime>
  <Pages>1</Pages>
  <Words>193</Words>
  <Characters>1103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Forchu</dc:creator>
  <cp:keywords/>
  <dc:description/>
  <cp:lastModifiedBy>Jerry Forchu</cp:lastModifiedBy>
  <cp:revision>2</cp:revision>
  <dcterms:created xsi:type="dcterms:W3CDTF">2021-11-03T10:01:00Z</dcterms:created>
  <dcterms:modified xsi:type="dcterms:W3CDTF">2021-11-03T10:01:00Z</dcterms:modified>
</cp:coreProperties>
</file>