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Manual last updated: Jan. 13 2022 (LEF)</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pPr>
      <w:r>
        <w:rPr>
          <w:rFonts w:ascii="DejaVu Serif" w:hAnsi="DejaVu Serif"/>
          <w:b w:val="false"/>
          <w:bCs w:val="false"/>
          <w:sz w:val="24"/>
          <w:szCs w:val="24"/>
        </w:rPr>
        <w:t>All tests should normally pass in the master branch of the git repo.  This verifies a correct build of the code.  A single test can be run by specifying a command line argument to run_test_suite.sh.</w:t>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 xml:space="preserve">./generate_test_suite.sh.  </w:t>
      </w:r>
      <w:r>
        <w:rPr>
          <w:rFonts w:ascii="DejaVu Serif" w:hAnsi="DejaVu Serif"/>
        </w:rPr>
        <w:t>A single test can be updated by specifying a command line argument to 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408" w:type="dxa"/>
        <w:tblCellMar>
          <w:top w:w="0" w:type="dxa"/>
          <w:left w:w="4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4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408" w:type="dxa"/>
        <w:tblCellMar>
          <w:top w:w="0" w:type="dxa"/>
          <w:left w:w="4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4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4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3635" cy="19951700"/>
                <wp:effectExtent l="0" t="0" r="0" b="0"/>
                <wp:wrapSquare wrapText="bothSides"/>
                <wp:docPr id="1" name="Frame1"/>
                <a:graphic xmlns:a="http://schemas.openxmlformats.org/drawingml/2006/main">
                  <a:graphicData uri="http://schemas.microsoft.com/office/word/2010/wordprocessingShape">
                    <wps:wsp>
                      <wps:cNvSpPr/>
                      <wps:spPr>
                        <a:xfrm>
                          <a:off x="0" y="0"/>
                          <a:ext cx="8763120" cy="19951200"/>
                        </a:xfrm>
                        <a:prstGeom prst="rect">
                          <a:avLst/>
                        </a:prstGeom>
                        <a:noFill/>
                        <a:ln>
                          <a:noFill/>
                        </a:ln>
                      </wps:spPr>
                      <wps:style>
                        <a:lnRef idx="0"/>
                        <a:fillRef idx="0"/>
                        <a:effectRef idx="0"/>
                        <a:fontRef idx="minor"/>
                      </wps:style>
                      <wps:txbx>
                        <w:txbxContent>
                          <w:tbl>
                            <w:tblPr>
                              <w:tblStyle w:val="MediumShading1-Accent6"/>
                              <w:tblW w:w="13795" w:type="dxa"/>
                              <w:jc w:val="left"/>
                              <w:tblInd w:w="57" w:type="dxa"/>
                              <w:tblCellMar>
                                <w:top w:w="115" w:type="dxa"/>
                                <w:left w:w="4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4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53.55pt;margin-top:90.05pt;width:689.95pt;height:1570.9pt;mso-position-horizontal-relative:page;mso-position-vertical-relative:page">
                <w10:wrap type="none"/>
                <v:fill o:detectmouseclick="t" on="false"/>
                <v:stroke color="#3465a4" joinstyle="round" endcap="flat"/>
                <v:textbox>
                  <w:txbxContent>
                    <w:tbl>
                      <w:tblPr>
                        <w:tblStyle w:val="MediumShading1-Accent6"/>
                        <w:tblW w:w="13795" w:type="dxa"/>
                        <w:jc w:val="left"/>
                        <w:tblInd w:w="57" w:type="dxa"/>
                        <w:tblCellMar>
                          <w:top w:w="115" w:type="dxa"/>
                          <w:left w:w="4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4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Extras"/>
      <w:bookmarkStart w:id="11" w:name="_LSQ_Python_Codes_3"/>
      <w:bookmarkStart w:id="12" w:name="_LSQ_Python_Codes_2"/>
      <w:bookmarkStart w:id="13" w:name="_LSQ_Python_Codes_1"/>
      <w:bookmarkStart w:id="14" w:name="_LSQ_Python_Codes"/>
      <w:bookmarkStart w:id="15" w:name="_Extras"/>
      <w:bookmarkStart w:id="16" w:name="_LSQ_Python_Codes_3"/>
      <w:bookmarkStart w:id="17" w:name="_LSQ_Python_Codes_2"/>
      <w:bookmarkStart w:id="18" w:name="_LSQ_Python_Codes_1"/>
      <w:bookmarkStart w:id="19" w:name="_LSQ_Python_Code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3635" cy="11354435"/>
                <wp:effectExtent l="0" t="0" r="0" b="0"/>
                <wp:wrapSquare wrapText="bothSides"/>
                <wp:docPr id="3" name="Frame2"/>
                <a:graphic xmlns:a="http://schemas.openxmlformats.org/drawingml/2006/main">
                  <a:graphicData uri="http://schemas.microsoft.com/office/word/2010/wordprocessingShape">
                    <wps:wsp>
                      <wps:cNvSpPr/>
                      <wps:spPr>
                        <a:xfrm>
                          <a:off x="0" y="0"/>
                          <a:ext cx="8763120" cy="11353680"/>
                        </a:xfrm>
                        <a:prstGeom prst="rect">
                          <a:avLst/>
                        </a:prstGeom>
                        <a:noFill/>
                        <a:ln>
                          <a:noFill/>
                        </a:ln>
                      </wps:spPr>
                      <wps:style>
                        <a:lnRef idx="0"/>
                        <a:fillRef idx="0"/>
                        <a:effectRef idx="0"/>
                        <a:fontRef idx="minor"/>
                      </wps:style>
                      <wps:txbx>
                        <w:txbxContent>
                          <w:tbl>
                            <w:tblPr>
                              <w:tblStyle w:val="MediumShading1-Accent6"/>
                              <w:tblW w:w="13795" w:type="dxa"/>
                              <w:jc w:val="left"/>
                              <w:tblInd w:w="57" w:type="dxa"/>
                              <w:tblCellMar>
                                <w:top w:w="115" w:type="dxa"/>
                                <w:left w:w="4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4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53.55pt;margin-top:90.05pt;width:689.95pt;height:893.9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57" w:type="dxa"/>
                        <w:tblCellMar>
                          <w:top w:w="115" w:type="dxa"/>
                          <w:left w:w="4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4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4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v:textbox>
              </v:rect>
            </w:pict>
          </mc:Fallback>
        </mc:AlternateContent>
      </w:r>
    </w:p>
    <w:p>
      <w:pPr>
        <w:pStyle w:val="Heading1"/>
        <w:rPr/>
      </w:pPr>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0" w:name="_LSQ_Python_Codes_7"/>
      <w:bookmarkStart w:id="21" w:name="_LSQ_Python_Codes_6"/>
      <w:bookmarkStart w:id="22" w:name="_LSQ_Python_Codes_5"/>
      <w:bookmarkStart w:id="23" w:name="_LSQ_Python_Codes_4"/>
      <w:bookmarkEnd w:id="20"/>
      <w:bookmarkEnd w:id="21"/>
      <w:bookmarkEnd w:id="22"/>
      <w:bookmarkEnd w:id="23"/>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59" w:type="dxa"/>
        <w:tblCellMar>
          <w:top w:w="0" w:type="dxa"/>
          <w:left w:w="4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4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47" w:type="dxa"/>
            </w:tcMar>
            <w:vAlign w:val="center"/>
          </w:tcPr>
          <w:p>
            <w:pPr>
              <w:pStyle w:val="Normal"/>
              <w:rPr>
                <w:rFonts w:ascii="Courier" w:hAnsi="Courier" w:cs="Courier"/>
                <w:color w:val="000000" w:themeColor="text1"/>
                <w:sz w:val="20"/>
                <w:szCs w:val="20"/>
              </w:rPr>
            </w:pPr>
            <w:r>
              <w:rPr>
                <w:rFonts w:cs="Courier" w:ascii="Courier" w:hAnsi="Courier"/>
                <w:b w:val="false"/>
                <w:bCs/>
                <w:color w:val="000000" w:themeColor="text1"/>
                <w:sz w:val="20"/>
                <w:szCs w:val="20"/>
              </w:rPr>
              <w:t>lsq2.py</w:t>
            </w:r>
          </w:p>
        </w:tc>
        <w:tc>
          <w:tcPr>
            <w:tcW w:w="6106"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trPr>
          <w:trHeight w:val="832" w:hRule="atLeast"/>
        </w:trPr>
        <w:tc>
          <w:tcPr>
            <w:tcW w:w="370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47" w:type="dxa"/>
            </w:tcMar>
            <w:vAlign w:val="center"/>
          </w:tcPr>
          <w:p>
            <w:pPr>
              <w:pStyle w:val="Normal"/>
              <w:rPr>
                <w:b w:val="false"/>
                <w:b w:val="false"/>
                <w:color w:val="000000" w:themeColor="text1"/>
                <w:sz w:val="20"/>
                <w:szCs w:val="20"/>
              </w:rPr>
            </w:pPr>
            <w:r>
              <w:rPr>
                <w:rFonts w:cs="Courier" w:ascii="Courier" w:hAnsi="Courier"/>
                <w:b w:val="false"/>
                <w:bCs/>
                <w:color w:val="000000" w:themeColor="text1"/>
                <w:sz w:val="20"/>
                <w:szCs w:val="20"/>
              </w:rPr>
              <w:t>lsq.py</w:t>
            </w:r>
          </w:p>
        </w:tc>
        <w:tc>
          <w:tcPr>
            <w:tcW w:w="6106" w:type="dxa"/>
            <w:tcBorders>
              <w:top w:val="nil"/>
              <w:left w:val="nil"/>
              <w:right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python lsq.py A.txt b.txt params.header </w:t>
              <w:br/>
              <w:t>&gt; params.txt</w:t>
            </w:r>
          </w:p>
        </w:tc>
        <w:tc>
          <w:tcPr>
            <w:tcW w:w="4064" w:type="dxa"/>
            <w:tcBorders>
              <w:top w:val="nil"/>
              <w:left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 xml:space="preserve">Produce output compatible with original version of MD code. </w:t>
            </w:r>
            <w:r>
              <w:rPr>
                <w:rFonts w:ascii="Courier" w:hAnsi="Courier"/>
                <w:b/>
                <w:color w:val="3366FF"/>
                <w:sz w:val="20"/>
                <w:szCs w:val="20"/>
              </w:rPr>
              <w:t>Ancillary support.</w:t>
            </w:r>
          </w:p>
        </w:tc>
      </w:tr>
    </w:tbl>
    <w:p>
      <w:pPr>
        <w:pStyle w:val="Normal"/>
        <w:rPr/>
      </w:pPr>
      <w:r>
        <w:rPr/>
      </w:r>
      <w:r>
        <w:br w:type="page"/>
      </w:r>
    </w:p>
    <w:p>
      <w:pPr>
        <w:pStyle w:val="Heading1"/>
        <w:rPr>
          <w:rFonts w:ascii="Cambria" w:hAnsi="Cambria" w:asciiTheme="minorHAnsi" w:hAnsiTheme="minorHAnsi"/>
          <w:color w:val="000000" w:themeColor="text1"/>
        </w:rPr>
      </w:pPr>
      <w:bookmarkStart w:id="24" w:name="_MD_CODE:_Main"/>
      <w:bookmarkEnd w:id="24"/>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60" w:type="dxa"/>
        <w:tblCellMar>
          <w:top w:w="115" w:type="dxa"/>
          <w:left w:w="5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5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5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5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(“FRQDFTB” or an integer &gt; 0) or</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and ENERGY_STRESS and an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Should the forces be printed during the simulation? Same as for </w:t>
            </w:r>
            <w:r>
              <w:rPr>
                <w:rFonts w:cs="Andale Mono" w:ascii="Courier" w:hAnsi="Courier"/>
                <w:sz w:val="20"/>
                <w:szCs w:val="20"/>
              </w:rPr>
              <w:t xml:space="preserve"># PRNTVEL #  The integer defines how often output should occur.  FRQDFTB specifies the same output file as the .gen file.  </w:t>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sz w:val="20"/>
                <w:szCs w:val="20"/>
              </w:rPr>
              <w:t>ENERGY_STRESS will print potential energy and configurational stresses to the file prior to the atomic forces.  This creates a file in the expected_output format used in testing chimes_calculator forces.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Andale Mono"/>
                <w:b w:val="false"/>
                <w:b w:val="false"/>
                <w:bCs w:val="false"/>
                <w:sz w:val="20"/>
                <w:szCs w:val="20"/>
              </w:rPr>
            </w:pPr>
            <w:r>
              <w:rPr>
                <w:rFonts w:cs="Andale Mono" w:ascii="Courier" w:hAnsi="Courier"/>
                <w:b w:val="false"/>
                <w:bCs w:val="false"/>
                <w:sz w:val="20"/>
                <w:szCs w:val="20"/>
              </w:rPr>
              <w:t># SERIAL_CHIMES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use the serial chimes calculator to determine forces.  This is intended for code testing purposes only, and will substantially slow down calculations.  The default is false.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55" w:type="dxa"/>
            </w:tcMar>
            <w:vAlign w:val="center"/>
          </w:tcPr>
          <w:p>
            <w:pPr>
              <w:pStyle w:val="Normal"/>
              <w:jc w:val="center"/>
              <w:rPr>
                <w:b/>
                <w:b/>
                <w:bCs/>
              </w:rPr>
            </w:pPr>
            <w:r>
              <w:rPr>
                <w:rFonts w:ascii="FreeMono" w:hAnsi="FreeMono"/>
                <w:b w:val="false"/>
                <w:bCs w:val="false"/>
              </w:rPr>
              <w:t xml:space="preserve"># </w:t>
            </w:r>
            <w:r>
              <w:rPr>
                <w:rFonts w:ascii="FreeMono" w:hAnsi="FreeMono"/>
                <w:b w:val="false"/>
                <w:bCs w:val="false"/>
                <w:sz w:val="20"/>
                <w:szCs w:val="20"/>
              </w:rPr>
              <w:t>CHEBYFIX</w:t>
            </w:r>
            <w:r>
              <w:rPr>
                <w:rFonts w:ascii="FreeMono" w:hAnsi="FreeMono"/>
                <w:b w:val="false"/>
                <w:bCs w:val="false"/>
              </w:rPr>
              <w:t xml:space="preserve">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ZERO_DERIV, CONSTANT_DERIV, or SMOOTH</w:t>
            </w:r>
          </w:p>
        </w:tc>
        <w:tc>
          <w:tcPr>
            <w:tcW w:w="7200" w:type="dxa"/>
            <w:tcBorders>
              <w:top w:val="nil"/>
              <w:left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55" w:type="dxa"/>
            </w:tcMar>
            <w:vAlign w:val="center"/>
          </w:tcPr>
          <w:p>
            <w:pPr>
              <w:pStyle w:val="Normal"/>
              <w:jc w:val="center"/>
              <w:rPr>
                <w:rFonts w:ascii="FreeMono" w:hAnsi="FreeMono"/>
              </w:rPr>
            </w:pPr>
            <w:r>
              <w:rPr>
                <w:rFonts w:ascii="FreeMono" w:hAnsi="FreeMono"/>
              </w:rPr>
              <w:t># ATMENER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w:t>
            </w:r>
            <w:r>
              <w:rPr>
                <w:rFonts w:ascii="FreeMono" w:hAnsi="FreeMono"/>
              </w:rPr>
              <w:t>true” or “false”</w:t>
            </w:r>
          </w:p>
        </w:tc>
        <w:tc>
          <w:tcPr>
            <w:tcW w:w="7200" w:type="dxa"/>
            <w:tcBorders>
              <w:top w:val="nil"/>
              <w:left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If TRUE, use atomic energies defined in the force field definition file to offset reported potential energies.  This is useful when matching to energies from a quantum code.  If FALSE, the atomic energies in the force field definition file are ignored.  The default is TRUE.</w:t>
            </w:r>
          </w:p>
        </w:tc>
      </w:tr>
    </w:tbl>
    <w:p>
      <w:pPr>
        <w:pStyle w:val="Heading1"/>
        <w:rPr>
          <w:rFonts w:ascii="Cambria" w:hAnsi="Cambria" w:asciiTheme="minorHAnsi" w:hAnsiTheme="minorHAnsi"/>
          <w:color w:val="000000" w:themeColor="text1"/>
        </w:rPr>
      </w:pPr>
      <w:bookmarkStart w:id="25" w:name="_MD_CODE:_Parameter"/>
      <w:bookmarkStart w:id="26" w:name="_MD_CODE:_Parameter"/>
      <w:bookmarkEnd w:id="26"/>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7" w:name="_MD_CODE:_Ensembles"/>
      <w:bookmarkEnd w:id="27"/>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59" w:type="dxa"/>
        <w:tblCellMar>
          <w:top w:w="0" w:type="dxa"/>
          <w:left w:w="4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4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4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4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4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4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4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4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4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4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8" w:name="_PES_Scan_generator"/>
      <w:bookmarkEnd w:id="28"/>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29" w:name="_Small_Utilities"/>
      <w:bookmarkStart w:id="30" w:name="_Small_Utilities"/>
      <w:bookmarkEnd w:id="30"/>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60" w:type="dxa"/>
        <w:tblCellMar>
          <w:top w:w="115" w:type="dxa"/>
          <w:left w:w="5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5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5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5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5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5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Free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
      <w:b w:val="false"/>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color w:val="00000A"/>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color w:val="00000A"/>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
      <w:b w:val="false"/>
      <w:sz w:val="28"/>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color w:val="00000A"/>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color w:val="00000A"/>
      <w:sz w:val="28"/>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
      <w:b w:val="false"/>
      <w:sz w:val="28"/>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color w:val="00000A"/>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color w:val="00000A"/>
      <w:sz w:val="28"/>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
      <w:b w:val="false"/>
      <w:sz w:val="28"/>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color w:val="00000A"/>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color w:val="00000A"/>
      <w:sz w:val="28"/>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Application>LibreOffice/5.3.6.1$Linux_X86_64 LibreOffice_project/30$Build-1</Application>
  <Pages>25</Pages>
  <Words>5405</Words>
  <Characters>26619</Characters>
  <CharactersWithSpaces>31682</CharactersWithSpaces>
  <Paragraphs>501</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2022-01-13T12:11:33Z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