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321F" w14:textId="77777777" w:rsidR="00AE7B4E" w:rsidRPr="00710B17" w:rsidRDefault="00AE7B4E">
      <w:pPr>
        <w:spacing w:after="400"/>
        <w:rPr>
          <w:sz w:val="2"/>
          <w:szCs w:val="2"/>
        </w:rPr>
      </w:pPr>
    </w:p>
    <w:p w14:paraId="28F4B624" w14:textId="77777777" w:rsidR="00AE7B4E" w:rsidRDefault="00000000">
      <w:pPr>
        <w:spacing w:after="400" w:line="276" w:lineRule="auto"/>
        <w:jc w:val="center"/>
      </w:pPr>
      <w:r>
        <w:rPr>
          <w:b/>
          <w:bCs/>
          <w:sz w:val="32"/>
          <w:szCs w:val="32"/>
        </w:rPr>
        <w:t>Pharmacy Inventory &amp; Prescription Management System</w:t>
      </w:r>
    </w:p>
    <w:p w14:paraId="4EFC459D" w14:textId="77777777" w:rsidR="00AE7B4E" w:rsidRDefault="00000000">
      <w:pPr>
        <w:spacing w:after="200" w:line="276" w:lineRule="auto"/>
        <w:jc w:val="center"/>
        <w:rPr>
          <w:b/>
          <w:bCs/>
          <w:sz w:val="36"/>
          <w:szCs w:val="36"/>
        </w:rPr>
      </w:pPr>
      <w:r>
        <w:rPr>
          <w:b/>
          <w:bCs/>
          <w:sz w:val="36"/>
          <w:szCs w:val="36"/>
        </w:rPr>
        <w:t>Database Systems Lab (BCSE302P)</w:t>
      </w:r>
    </w:p>
    <w:p w14:paraId="50603713" w14:textId="77777777" w:rsidR="00710B17" w:rsidRPr="00710B17" w:rsidRDefault="00710B17">
      <w:pPr>
        <w:spacing w:after="200" w:line="276" w:lineRule="auto"/>
        <w:jc w:val="center"/>
        <w:rPr>
          <w:sz w:val="10"/>
          <w:szCs w:val="10"/>
        </w:rPr>
      </w:pPr>
    </w:p>
    <w:p w14:paraId="3F077D43" w14:textId="77777777" w:rsidR="00AE7B4E" w:rsidRDefault="00000000">
      <w:pPr>
        <w:spacing w:after="200" w:line="276" w:lineRule="auto"/>
        <w:jc w:val="center"/>
      </w:pPr>
      <w:r>
        <w:rPr>
          <w:b/>
          <w:bCs/>
        </w:rPr>
        <w:t>PROJECT REPORT</w:t>
      </w:r>
    </w:p>
    <w:p w14:paraId="1D5D5C64" w14:textId="77777777" w:rsidR="00AE7B4E" w:rsidRDefault="00000000">
      <w:pPr>
        <w:spacing w:after="400" w:line="276" w:lineRule="auto"/>
        <w:jc w:val="center"/>
      </w:pPr>
      <w:r>
        <w:rPr>
          <w:b/>
          <w:bCs/>
        </w:rPr>
        <w:t>Fall Semester 2026-2027</w:t>
      </w:r>
    </w:p>
    <w:p w14:paraId="21AE3522" w14:textId="77777777" w:rsidR="00AE7B4E" w:rsidRDefault="00000000">
      <w:pPr>
        <w:spacing w:after="200" w:line="276" w:lineRule="auto"/>
        <w:jc w:val="center"/>
      </w:pPr>
      <w:r>
        <w:t>Submitted by</w:t>
      </w:r>
    </w:p>
    <w:p w14:paraId="333913CC" w14:textId="123E0EFC" w:rsidR="00AE7B4E" w:rsidRDefault="00710B17" w:rsidP="00710B17">
      <w:pPr>
        <w:spacing w:line="360" w:lineRule="auto"/>
        <w:jc w:val="center"/>
        <w:rPr>
          <w:b/>
          <w:bCs/>
          <w:caps/>
        </w:rPr>
      </w:pPr>
      <w:r>
        <w:rPr>
          <w:b/>
          <w:bCs/>
          <w:caps/>
        </w:rPr>
        <w:t>ABHIRUP BANIK (24BCE0311)</w:t>
      </w:r>
    </w:p>
    <w:p w14:paraId="0F60EDC0" w14:textId="3E0CF9EC" w:rsidR="00710B17" w:rsidRDefault="00710B17" w:rsidP="00710B17">
      <w:pPr>
        <w:spacing w:line="360" w:lineRule="auto"/>
        <w:jc w:val="center"/>
        <w:rPr>
          <w:b/>
          <w:bCs/>
          <w:caps/>
        </w:rPr>
      </w:pPr>
      <w:r>
        <w:rPr>
          <w:b/>
          <w:bCs/>
          <w:caps/>
        </w:rPr>
        <w:t>SARVASWA BHANTI (24BCE0333)</w:t>
      </w:r>
    </w:p>
    <w:p w14:paraId="378D4CCC" w14:textId="0DE3697B" w:rsidR="00710B17" w:rsidRDefault="00710B17" w:rsidP="00710B17">
      <w:pPr>
        <w:spacing w:line="360" w:lineRule="auto"/>
        <w:jc w:val="center"/>
        <w:rPr>
          <w:b/>
          <w:bCs/>
          <w:caps/>
        </w:rPr>
      </w:pPr>
      <w:r>
        <w:rPr>
          <w:b/>
          <w:bCs/>
          <w:caps/>
        </w:rPr>
        <w:t>AMOGH SHARMA (24BCE2126)</w:t>
      </w:r>
    </w:p>
    <w:p w14:paraId="38D11270" w14:textId="2161475B" w:rsidR="00710B17" w:rsidRDefault="00710B17" w:rsidP="00710B17">
      <w:pPr>
        <w:spacing w:line="360" w:lineRule="auto"/>
        <w:jc w:val="center"/>
        <w:rPr>
          <w:b/>
          <w:bCs/>
          <w:caps/>
        </w:rPr>
      </w:pPr>
      <w:r>
        <w:rPr>
          <w:b/>
          <w:bCs/>
          <w:caps/>
        </w:rPr>
        <w:t>SAMI FARHAN SYED (24BCE</w:t>
      </w:r>
      <w:r w:rsidR="004E6FBE">
        <w:rPr>
          <w:b/>
          <w:bCs/>
          <w:caps/>
        </w:rPr>
        <w:t>2744</w:t>
      </w:r>
      <w:r>
        <w:rPr>
          <w:b/>
          <w:bCs/>
          <w:caps/>
        </w:rPr>
        <w:t>)</w:t>
      </w:r>
    </w:p>
    <w:p w14:paraId="5DF66CD3" w14:textId="77777777" w:rsidR="00710B17" w:rsidRPr="00710B17" w:rsidRDefault="00710B17" w:rsidP="00710B17">
      <w:pPr>
        <w:spacing w:line="360" w:lineRule="auto"/>
        <w:jc w:val="center"/>
        <w:rPr>
          <w:sz w:val="16"/>
          <w:szCs w:val="16"/>
        </w:rPr>
      </w:pPr>
    </w:p>
    <w:p w14:paraId="2FB946A9" w14:textId="77777777" w:rsidR="00AE7B4E" w:rsidRDefault="00000000">
      <w:pPr>
        <w:spacing w:after="200" w:line="276" w:lineRule="auto"/>
        <w:jc w:val="center"/>
      </w:pPr>
      <w:r>
        <w:rPr>
          <w:i/>
          <w:iCs/>
        </w:rPr>
        <w:t>in partial fulfillment for the award</w:t>
      </w:r>
      <w:r>
        <w:t xml:space="preserve"> of the degree of</w:t>
      </w:r>
    </w:p>
    <w:p w14:paraId="71D89B28" w14:textId="77777777" w:rsidR="00AE7B4E" w:rsidRDefault="00000000">
      <w:pPr>
        <w:spacing w:after="160" w:line="276" w:lineRule="auto"/>
        <w:jc w:val="center"/>
      </w:pPr>
      <w:r>
        <w:rPr>
          <w:b/>
          <w:bCs/>
        </w:rPr>
        <w:t>B. Tech</w:t>
      </w:r>
    </w:p>
    <w:p w14:paraId="1DC53E9A" w14:textId="6797930D" w:rsidR="00AE7B4E" w:rsidRDefault="00710B17">
      <w:pPr>
        <w:spacing w:after="160" w:line="276" w:lineRule="auto"/>
        <w:jc w:val="center"/>
      </w:pPr>
      <w:r>
        <w:t>In</w:t>
      </w:r>
    </w:p>
    <w:p w14:paraId="6E0D2D68" w14:textId="77777777" w:rsidR="00710B17" w:rsidRPr="00710B17" w:rsidRDefault="00710B17">
      <w:pPr>
        <w:spacing w:after="160" w:line="276" w:lineRule="auto"/>
        <w:jc w:val="center"/>
        <w:rPr>
          <w:sz w:val="2"/>
          <w:szCs w:val="2"/>
        </w:rPr>
      </w:pPr>
    </w:p>
    <w:p w14:paraId="06342143" w14:textId="77777777" w:rsidR="00710B17" w:rsidRPr="008A62D9" w:rsidRDefault="00710B17" w:rsidP="00710B17">
      <w:pPr>
        <w:autoSpaceDE w:val="0"/>
        <w:autoSpaceDN w:val="0"/>
        <w:adjustRightInd w:val="0"/>
        <w:jc w:val="center"/>
        <w:rPr>
          <w:b/>
          <w:bCs/>
          <w:color w:val="00000A"/>
          <w:sz w:val="28"/>
          <w:szCs w:val="28"/>
        </w:rPr>
      </w:pPr>
      <w:r>
        <w:rPr>
          <w:b/>
          <w:bCs/>
          <w:color w:val="00000A"/>
          <w:sz w:val="28"/>
          <w:szCs w:val="28"/>
        </w:rPr>
        <w:t>Computer Science and Engineering</w:t>
      </w:r>
    </w:p>
    <w:p w14:paraId="18ECA8D6" w14:textId="4FD690B5" w:rsidR="00710B17" w:rsidRDefault="00710B17" w:rsidP="00710B17">
      <w:pPr>
        <w:autoSpaceDE w:val="0"/>
        <w:autoSpaceDN w:val="0"/>
        <w:adjustRightInd w:val="0"/>
        <w:jc w:val="center"/>
        <w:rPr>
          <w:b/>
          <w:bCs/>
          <w:sz w:val="28"/>
          <w:szCs w:val="28"/>
        </w:rPr>
      </w:pPr>
      <w:r>
        <w:rPr>
          <w:b/>
          <w:bCs/>
          <w:sz w:val="28"/>
          <w:szCs w:val="28"/>
        </w:rPr>
        <w:t>Core</w:t>
      </w:r>
    </w:p>
    <w:p w14:paraId="67372D28" w14:textId="77777777" w:rsidR="00710B17" w:rsidRPr="00EC38A3" w:rsidRDefault="00710B17" w:rsidP="00710B17">
      <w:pPr>
        <w:autoSpaceDE w:val="0"/>
        <w:autoSpaceDN w:val="0"/>
        <w:adjustRightInd w:val="0"/>
        <w:jc w:val="center"/>
        <w:rPr>
          <w:b/>
          <w:bCs/>
          <w:sz w:val="28"/>
          <w:szCs w:val="28"/>
        </w:rPr>
      </w:pPr>
    </w:p>
    <w:p w14:paraId="73E1C780" w14:textId="2514FDA6" w:rsidR="00710B17" w:rsidRDefault="00710B17">
      <w:pPr>
        <w:spacing w:after="500" w:line="276" w:lineRule="auto"/>
        <w:jc w:val="center"/>
      </w:pPr>
      <w:r>
        <w:rPr>
          <w:noProof/>
        </w:rPr>
        <w:drawing>
          <wp:inline distT="0" distB="0" distL="0" distR="0" wp14:anchorId="31538E9D" wp14:editId="6D92F78C">
            <wp:extent cx="2656775" cy="838200"/>
            <wp:effectExtent l="0" t="0" r="0" b="0"/>
            <wp:docPr id="1" name="Picture 1" descr="C:\Users\admin\AppData\Local\Microsoft\Windows\Temporary Internet Files\Content.Outlook\J28BN7OI\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Outlook\J28BN7OI\VIT new 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8831" cy="876708"/>
                    </a:xfrm>
                    <a:prstGeom prst="rect">
                      <a:avLst/>
                    </a:prstGeom>
                    <a:noFill/>
                    <a:ln>
                      <a:noFill/>
                    </a:ln>
                  </pic:spPr>
                </pic:pic>
              </a:graphicData>
            </a:graphic>
          </wp:inline>
        </w:drawing>
      </w:r>
    </w:p>
    <w:p w14:paraId="4E91C8D9" w14:textId="77777777" w:rsidR="00AE7B4E" w:rsidRDefault="00000000" w:rsidP="00710B17">
      <w:pPr>
        <w:spacing w:after="400"/>
        <w:jc w:val="center"/>
      </w:pPr>
      <w:r>
        <w:t>Vellore-632014, Tamil Nadu, India</w:t>
      </w:r>
    </w:p>
    <w:p w14:paraId="2B11549F" w14:textId="523EB4E5" w:rsidR="00710B17" w:rsidRDefault="00710B17" w:rsidP="00710B17">
      <w:pPr>
        <w:spacing w:after="400"/>
        <w:jc w:val="center"/>
      </w:pPr>
      <w:r>
        <w:rPr>
          <w:b/>
          <w:bCs/>
          <w:color w:val="00000A"/>
          <w:sz w:val="30"/>
          <w:szCs w:val="28"/>
        </w:rPr>
        <w:t>School of Computer Science and Engineering</w:t>
      </w:r>
    </w:p>
    <w:p w14:paraId="49D30852" w14:textId="77777777" w:rsidR="00AE7B4E" w:rsidRDefault="00000000" w:rsidP="00710B17">
      <w:pPr>
        <w:jc w:val="center"/>
      </w:pPr>
      <w:r>
        <w:t>October, 2026</w:t>
      </w:r>
    </w:p>
    <w:p w14:paraId="3FF30350" w14:textId="77777777" w:rsidR="00AE7B4E" w:rsidRDefault="00000000">
      <w:r>
        <w:br w:type="page"/>
      </w:r>
    </w:p>
    <w:p w14:paraId="68D2DF83" w14:textId="77777777" w:rsidR="00AE7B4E" w:rsidRDefault="00000000">
      <w:pPr>
        <w:spacing w:after="240"/>
        <w:jc w:val="center"/>
        <w:rPr>
          <w:b/>
          <w:bCs/>
          <w:u w:val="single"/>
        </w:rPr>
      </w:pPr>
      <w:r w:rsidRPr="004E6FBE">
        <w:rPr>
          <w:b/>
          <w:bCs/>
          <w:u w:val="single"/>
        </w:rPr>
        <w:lastRenderedPageBreak/>
        <w:t>CONTENTS</w:t>
      </w:r>
    </w:p>
    <w:p w14:paraId="5783EDCD" w14:textId="77777777" w:rsidR="004E6FBE" w:rsidRPr="004E6FBE" w:rsidRDefault="004E6FBE">
      <w:pPr>
        <w:spacing w:after="240"/>
        <w:jc w:val="center"/>
        <w:rPr>
          <w:sz w:val="2"/>
          <w:szCs w:val="2"/>
          <w:u w:val="single"/>
        </w:rPr>
      </w:pPr>
    </w:p>
    <w:p w14:paraId="64D45DF4" w14:textId="77777777" w:rsidR="004E6FBE" w:rsidRDefault="004E6FBE" w:rsidP="004E6FBE">
      <w:pPr>
        <w:spacing w:after="140" w:line="300" w:lineRule="auto"/>
        <w:jc w:val="both"/>
        <w:rPr>
          <w:b/>
          <w:bCs/>
          <w:sz w:val="28"/>
          <w:szCs w:val="28"/>
        </w:rPr>
      </w:pPr>
      <w:r w:rsidRPr="004E6FBE">
        <w:rPr>
          <w:b/>
          <w:bCs/>
          <w:sz w:val="28"/>
          <w:szCs w:val="28"/>
        </w:rPr>
        <w:t>Pharmacy Inventory &amp; Prescription Management System</w:t>
      </w:r>
    </w:p>
    <w:p w14:paraId="7033F7A7" w14:textId="77777777" w:rsidR="004E6FBE" w:rsidRPr="004E6FBE" w:rsidRDefault="004E6FBE" w:rsidP="004E6FBE">
      <w:pPr>
        <w:spacing w:after="140" w:line="300" w:lineRule="auto"/>
        <w:jc w:val="both"/>
        <w:rPr>
          <w:b/>
          <w:bCs/>
          <w:sz w:val="2"/>
          <w:szCs w:val="2"/>
        </w:rPr>
      </w:pPr>
    </w:p>
    <w:p w14:paraId="10000002" w14:textId="77777777" w:rsidR="00AE7B4E" w:rsidRDefault="00000000">
      <w:pPr>
        <w:pStyle w:val="ListParagraph"/>
        <w:spacing w:after="100" w:line="300" w:lineRule="auto"/>
        <w:jc w:val="both"/>
      </w:pPr>
      <w:r>
        <w:rPr>
          <w:b/>
          <w:bCs/>
        </w:rPr>
        <w:t>1. Short summary of the project</w:t>
      </w:r>
    </w:p>
    <w:p w14:paraId="10000003" w14:textId="77777777" w:rsidR="00AE7B4E" w:rsidRDefault="00000000" w:rsidP="004E6FBE">
      <w:pPr>
        <w:pStyle w:val="ListParagraph"/>
        <w:spacing w:after="60" w:line="360" w:lineRule="auto"/>
        <w:ind w:left="720"/>
        <w:jc w:val="both"/>
      </w:pPr>
      <w:r>
        <w:t>1.1 Overview of the Two-Database Design</w:t>
      </w:r>
    </w:p>
    <w:p w14:paraId="10000004" w14:textId="77777777" w:rsidR="00AE7B4E" w:rsidRDefault="00000000" w:rsidP="004E6FBE">
      <w:pPr>
        <w:pStyle w:val="ListParagraph"/>
        <w:spacing w:after="60" w:line="360" w:lineRule="auto"/>
        <w:ind w:left="720"/>
        <w:jc w:val="both"/>
      </w:pPr>
      <w:r>
        <w:t>1.2 Polyglot Persistence Approach</w:t>
      </w:r>
    </w:p>
    <w:p w14:paraId="10000005" w14:textId="77777777" w:rsidR="00AE7B4E" w:rsidRDefault="00000000" w:rsidP="004E6FBE">
      <w:pPr>
        <w:pStyle w:val="ListParagraph"/>
        <w:spacing w:after="60" w:line="360" w:lineRule="auto"/>
        <w:ind w:left="720"/>
        <w:jc w:val="both"/>
      </w:pPr>
      <w:r>
        <w:t>1.3 The Workflow, End to End</w:t>
      </w:r>
    </w:p>
    <w:p w14:paraId="1A872659" w14:textId="77777777" w:rsidR="004E6FBE" w:rsidRPr="004E6FBE" w:rsidRDefault="004E6FBE">
      <w:pPr>
        <w:pStyle w:val="ListParagraph"/>
        <w:spacing w:after="60" w:line="300" w:lineRule="auto"/>
        <w:ind w:left="720"/>
        <w:jc w:val="both"/>
        <w:rPr>
          <w:sz w:val="12"/>
          <w:szCs w:val="12"/>
        </w:rPr>
      </w:pPr>
    </w:p>
    <w:p w14:paraId="10000006" w14:textId="77777777" w:rsidR="00AE7B4E" w:rsidRDefault="00000000">
      <w:pPr>
        <w:pStyle w:val="ListParagraph"/>
        <w:spacing w:after="100" w:line="300" w:lineRule="auto"/>
        <w:jc w:val="both"/>
      </w:pPr>
      <w:r>
        <w:rPr>
          <w:b/>
          <w:bCs/>
        </w:rPr>
        <w:t>2. Front end and Database details</w:t>
      </w:r>
    </w:p>
    <w:p w14:paraId="10000007" w14:textId="77777777" w:rsidR="00AE7B4E" w:rsidRDefault="00000000" w:rsidP="004E6FBE">
      <w:pPr>
        <w:pStyle w:val="ListParagraph"/>
        <w:spacing w:after="60" w:line="360" w:lineRule="auto"/>
        <w:ind w:left="720"/>
        <w:jc w:val="both"/>
      </w:pPr>
      <w:r>
        <w:t>2.1 Front End Details</w:t>
      </w:r>
    </w:p>
    <w:p w14:paraId="10000008" w14:textId="77777777" w:rsidR="00AE7B4E" w:rsidRDefault="00000000" w:rsidP="004E6FBE">
      <w:pPr>
        <w:pStyle w:val="ListParagraph"/>
        <w:spacing w:after="60" w:line="360" w:lineRule="auto"/>
        <w:ind w:left="720"/>
        <w:jc w:val="both"/>
      </w:pPr>
      <w:r>
        <w:t>2.2 Database Details - Overview</w:t>
      </w:r>
    </w:p>
    <w:p w14:paraId="10000009" w14:textId="77777777" w:rsidR="00AE7B4E" w:rsidRDefault="00000000" w:rsidP="004E6FBE">
      <w:pPr>
        <w:pStyle w:val="ListParagraph"/>
        <w:spacing w:after="60" w:line="360" w:lineRule="auto"/>
        <w:ind w:left="720"/>
        <w:jc w:val="both"/>
      </w:pPr>
      <w:r>
        <w:t>2.3 Database One - PostgreSQL: The Transactional Core</w:t>
      </w:r>
    </w:p>
    <w:p w14:paraId="1000000A" w14:textId="77777777" w:rsidR="00AE7B4E" w:rsidRDefault="00000000" w:rsidP="004E6FBE">
      <w:pPr>
        <w:pStyle w:val="ListParagraph"/>
        <w:spacing w:after="60" w:line="360" w:lineRule="auto"/>
        <w:ind w:left="1080"/>
        <w:jc w:val="both"/>
      </w:pPr>
      <w:r>
        <w:t>2.3.1 The FEFO Query</w:t>
      </w:r>
    </w:p>
    <w:p w14:paraId="1000000B" w14:textId="77777777" w:rsidR="00AE7B4E" w:rsidRDefault="00000000" w:rsidP="004E6FBE">
      <w:pPr>
        <w:pStyle w:val="ListParagraph"/>
        <w:spacing w:after="60" w:line="360" w:lineRule="auto"/>
        <w:ind w:left="1080"/>
        <w:jc w:val="both"/>
      </w:pPr>
      <w:r>
        <w:t>2.3.2 The Dispensing Event / Audit Log Table</w:t>
      </w:r>
    </w:p>
    <w:p w14:paraId="1000000C" w14:textId="77777777" w:rsidR="00AE7B4E" w:rsidRDefault="00000000" w:rsidP="004E6FBE">
      <w:pPr>
        <w:pStyle w:val="ListParagraph"/>
        <w:spacing w:after="60" w:line="360" w:lineRule="auto"/>
        <w:ind w:left="720"/>
        <w:jc w:val="both"/>
      </w:pPr>
      <w:r>
        <w:t>2.4 Database Two - MongoDB: The Safety Knowledge Layer</w:t>
      </w:r>
    </w:p>
    <w:p w14:paraId="1000000D" w14:textId="77777777" w:rsidR="00AE7B4E" w:rsidRDefault="00000000" w:rsidP="004E6FBE">
      <w:pPr>
        <w:pStyle w:val="ListParagraph"/>
        <w:spacing w:after="60" w:line="360" w:lineRule="auto"/>
        <w:ind w:left="1080"/>
        <w:jc w:val="both"/>
      </w:pPr>
      <w:r>
        <w:t>2.4.1 Sample Interaction Document</w:t>
      </w:r>
    </w:p>
    <w:p w14:paraId="1000000E" w14:textId="77777777" w:rsidR="00AE7B4E" w:rsidRDefault="00000000" w:rsidP="004E6FBE">
      <w:pPr>
        <w:pStyle w:val="ListParagraph"/>
        <w:spacing w:after="60" w:line="360" w:lineRule="auto"/>
        <w:ind w:left="720"/>
        <w:jc w:val="both"/>
      </w:pPr>
      <w:r>
        <w:t>2.5 Comparison of the Two Databases</w:t>
      </w:r>
    </w:p>
    <w:p w14:paraId="4DF51687" w14:textId="77777777" w:rsidR="00AE7B4E" w:rsidRDefault="00000000">
      <w:r>
        <w:br w:type="page"/>
      </w:r>
    </w:p>
    <w:p w14:paraId="5ECBB0A0" w14:textId="77777777" w:rsidR="004E6FBE" w:rsidRPr="004E6FBE" w:rsidRDefault="004E6FBE" w:rsidP="004E6FBE">
      <w:pPr>
        <w:spacing w:after="140"/>
        <w:jc w:val="center"/>
        <w:rPr>
          <w:b/>
          <w:bCs/>
          <w:sz w:val="32"/>
          <w:szCs w:val="32"/>
        </w:rPr>
      </w:pPr>
      <w:r w:rsidRPr="004E6FBE">
        <w:rPr>
          <w:b/>
          <w:bCs/>
          <w:sz w:val="32"/>
          <w:szCs w:val="32"/>
        </w:rPr>
        <w:lastRenderedPageBreak/>
        <w:t xml:space="preserve">PHARMACY INVENTORY &amp; PRESCRIPTION </w:t>
      </w:r>
    </w:p>
    <w:p w14:paraId="5ED92F40" w14:textId="3A3D5AA8" w:rsidR="004E6FBE" w:rsidRDefault="004E6FBE" w:rsidP="004E6FBE">
      <w:pPr>
        <w:spacing w:after="140"/>
        <w:jc w:val="center"/>
        <w:rPr>
          <w:b/>
          <w:bCs/>
          <w:sz w:val="32"/>
          <w:szCs w:val="32"/>
        </w:rPr>
      </w:pPr>
      <w:r w:rsidRPr="004E6FBE">
        <w:rPr>
          <w:b/>
          <w:bCs/>
          <w:sz w:val="32"/>
          <w:szCs w:val="32"/>
        </w:rPr>
        <w:t>MANAGEMENT SYSTEM</w:t>
      </w:r>
    </w:p>
    <w:p w14:paraId="102FBC18" w14:textId="77777777" w:rsidR="004E6FBE" w:rsidRPr="00AD3188" w:rsidRDefault="004E6FBE" w:rsidP="004E6FBE">
      <w:pPr>
        <w:spacing w:after="140"/>
        <w:jc w:val="center"/>
        <w:rPr>
          <w:b/>
          <w:bCs/>
          <w:sz w:val="36"/>
          <w:szCs w:val="36"/>
        </w:rPr>
      </w:pPr>
    </w:p>
    <w:p w14:paraId="1F5ADF99" w14:textId="77777777" w:rsidR="00AE7B4E" w:rsidRDefault="00000000">
      <w:pPr>
        <w:pStyle w:val="Heading1"/>
        <w:spacing w:before="320" w:after="160"/>
      </w:pPr>
      <w:r>
        <w:t>1. SHORT SUMMARY OF THE PROJECT</w:t>
      </w:r>
    </w:p>
    <w:p w14:paraId="7C40AA0C" w14:textId="77777777" w:rsidR="00AE7B4E" w:rsidRDefault="00000000">
      <w:pPr>
        <w:spacing w:after="140" w:line="300" w:lineRule="auto"/>
        <w:jc w:val="both"/>
      </w:pPr>
      <w:r>
        <w:t>The project is a pharmacy management system in which the database layer, rather than the user interface, is the centre of the design. A pharmacy has to do two things correctly at the moment a medicine is handed over: it has to deduct the right physical stock from the right batch without ever losing count, and it has to confirm that the medicine being dispensed does not conflict dangerously with the other medicines on the same prescription. These two requirements pull in different directions, and the system is built around that observation.</w:t>
      </w:r>
    </w:p>
    <w:p w14:paraId="3B5A86FA" w14:textId="77777777" w:rsidR="004A5F7E" w:rsidRPr="004A5F7E" w:rsidRDefault="004A5F7E">
      <w:pPr>
        <w:spacing w:after="140" w:line="300" w:lineRule="auto"/>
        <w:jc w:val="both"/>
        <w:rPr>
          <w:sz w:val="4"/>
          <w:szCs w:val="4"/>
        </w:rPr>
      </w:pPr>
    </w:p>
    <w:p w14:paraId="57C89AC6" w14:textId="77777777" w:rsidR="00AE7B4E" w:rsidRDefault="00000000">
      <w:pPr>
        <w:pStyle w:val="Heading2"/>
        <w:spacing w:before="240" w:after="120"/>
      </w:pPr>
      <w:r>
        <w:rPr>
          <w:u w:val="single"/>
        </w:rPr>
        <w:t>1.1 Overview of the Two-Database Design</w:t>
      </w:r>
    </w:p>
    <w:p w14:paraId="45E6870E" w14:textId="77777777" w:rsidR="00AE7B4E" w:rsidRDefault="00000000">
      <w:pPr>
        <w:spacing w:after="140" w:line="300" w:lineRule="auto"/>
        <w:jc w:val="both"/>
      </w:pPr>
      <w:r>
        <w:t>When a pharmacist dispenses a medicine, PostgreSQL handles the transaction, picks the right batch and logs the event, while MongoDB checks whether the combination is safe. Each database is responsible for the part of the task the other is not well suited to.</w:t>
      </w:r>
    </w:p>
    <w:p w14:paraId="5E653E85" w14:textId="77777777" w:rsidR="004A5F7E" w:rsidRPr="004A5F7E" w:rsidRDefault="004A5F7E">
      <w:pPr>
        <w:spacing w:after="140" w:line="300" w:lineRule="auto"/>
        <w:jc w:val="both"/>
        <w:rPr>
          <w:sz w:val="8"/>
          <w:szCs w:val="8"/>
        </w:rPr>
      </w:pPr>
    </w:p>
    <w:p w14:paraId="37D7F7DB" w14:textId="77777777" w:rsidR="00AE7B4E" w:rsidRDefault="00000000">
      <w:pPr>
        <w:pStyle w:val="Heading2"/>
        <w:spacing w:before="240" w:after="120"/>
      </w:pPr>
      <w:r>
        <w:rPr>
          <w:u w:val="single"/>
        </w:rPr>
        <w:t>1.2 Polyglot Persistence Approach</w:t>
      </w:r>
    </w:p>
    <w:p w14:paraId="734C693E" w14:textId="77777777" w:rsidR="00AE7B4E" w:rsidRDefault="00000000">
      <w:pPr>
        <w:spacing w:after="140" w:line="300" w:lineRule="auto"/>
        <w:jc w:val="both"/>
      </w:pPr>
      <w:r>
        <w:t>Polyglot persistence means picking a different database for each part of a system based on how that data actually behaves, instead of forcing everything into one engine. Here, inventory data needs strong consistency and locking because it involves real stock and real money, and it also needs a durable, ordered record of what was dispensed and when. Interaction data, by contrast, changes shape often, arrives from external medical sources and is read far more often than it is written, so a flexible document store fits it better than a rigid table definition.</w:t>
      </w:r>
    </w:p>
    <w:p w14:paraId="7533A091" w14:textId="77777777" w:rsidR="004A5F7E" w:rsidRPr="004A5F7E" w:rsidRDefault="004A5F7E">
      <w:pPr>
        <w:spacing w:after="140" w:line="300" w:lineRule="auto"/>
        <w:jc w:val="both"/>
        <w:rPr>
          <w:sz w:val="2"/>
          <w:szCs w:val="2"/>
        </w:rPr>
      </w:pPr>
    </w:p>
    <w:p w14:paraId="556E63D0" w14:textId="77777777" w:rsidR="00AE7B4E" w:rsidRDefault="00000000">
      <w:pPr>
        <w:spacing w:after="140" w:line="300" w:lineRule="auto"/>
        <w:jc w:val="both"/>
      </w:pPr>
      <w:r>
        <w:t>The dispensing event log is deliberately kept inside PostgreSQL as an ordinary relational audit table rather than being pushed into a third engine. Writing it alongside the stock update means the audit trail is committed under the same ACID guarantees as the transaction it describes, and a single well-indexed table answers the queries the system actually needs without the added operational overhead of running and maintaining a third database.</w:t>
      </w:r>
    </w:p>
    <w:p w14:paraId="1C921D5B" w14:textId="77777777" w:rsidR="004E6FBE" w:rsidRDefault="004E6FBE">
      <w:pPr>
        <w:spacing w:after="140" w:line="300" w:lineRule="auto"/>
        <w:jc w:val="both"/>
      </w:pPr>
    </w:p>
    <w:p w14:paraId="4E5613E8" w14:textId="77777777" w:rsidR="004E6FBE" w:rsidRDefault="004E6FBE">
      <w:pPr>
        <w:spacing w:after="140" w:line="300" w:lineRule="auto"/>
        <w:jc w:val="both"/>
      </w:pPr>
    </w:p>
    <w:p w14:paraId="46D84EA9" w14:textId="77777777" w:rsidR="004E6FBE" w:rsidRDefault="004E6FBE">
      <w:pPr>
        <w:spacing w:after="140" w:line="300" w:lineRule="auto"/>
        <w:jc w:val="both"/>
      </w:pPr>
    </w:p>
    <w:p w14:paraId="239AC2AA" w14:textId="77777777" w:rsidR="004E6FBE" w:rsidRDefault="004E6FBE">
      <w:pPr>
        <w:spacing w:after="140" w:line="300" w:lineRule="auto"/>
        <w:jc w:val="both"/>
      </w:pPr>
    </w:p>
    <w:p w14:paraId="16F83087" w14:textId="77777777" w:rsidR="004E6FBE" w:rsidRDefault="004E6FBE">
      <w:pPr>
        <w:spacing w:after="140" w:line="300" w:lineRule="auto"/>
        <w:jc w:val="both"/>
      </w:pPr>
    </w:p>
    <w:p w14:paraId="7E6822BD" w14:textId="5EDABC5F" w:rsidR="00AE7B4E" w:rsidRDefault="00000000" w:rsidP="004A5F7E">
      <w:pPr>
        <w:spacing w:after="140" w:line="300" w:lineRule="auto"/>
        <w:jc w:val="both"/>
      </w:pPr>
      <w:r>
        <w:lastRenderedPageBreak/>
        <w:t>Figure 1 shows the overall architecture, with the two engines and the responsibilities assigned to each.</w:t>
      </w:r>
    </w:p>
    <w:p w14:paraId="37879CC9" w14:textId="1D866EAE" w:rsidR="004A5F7E" w:rsidRDefault="004A5F7E" w:rsidP="004A5F7E">
      <w:pPr>
        <w:spacing w:after="140" w:line="300" w:lineRule="auto"/>
        <w:jc w:val="both"/>
      </w:pPr>
      <w:r>
        <w:rPr>
          <w:noProof/>
        </w:rPr>
        <w:drawing>
          <wp:inline distT="0" distB="0" distL="0" distR="0" wp14:anchorId="64C3C1DF" wp14:editId="18D4177D">
            <wp:extent cx="5715000" cy="3810000"/>
            <wp:effectExtent l="0" t="0" r="0" b="0"/>
            <wp:docPr id="1214044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C09A717" w14:textId="77777777" w:rsidR="00AE7B4E" w:rsidRDefault="00000000">
      <w:pPr>
        <w:spacing w:before="120" w:after="220" w:line="300" w:lineRule="auto"/>
        <w:jc w:val="center"/>
      </w:pPr>
      <w:r>
        <w:rPr>
          <w:b/>
          <w:bCs/>
          <w:sz w:val="22"/>
          <w:szCs w:val="22"/>
        </w:rPr>
        <w:t>Figure 1: System architecture of the two-database polyglot persistence design</w:t>
      </w:r>
    </w:p>
    <w:p w14:paraId="393207F1" w14:textId="77777777" w:rsidR="004A5F7E" w:rsidRPr="004A5F7E" w:rsidRDefault="004A5F7E">
      <w:pPr>
        <w:pStyle w:val="Heading2"/>
        <w:spacing w:before="240" w:after="120"/>
        <w:rPr>
          <w:sz w:val="2"/>
          <w:szCs w:val="2"/>
          <w:u w:val="single"/>
        </w:rPr>
      </w:pPr>
    </w:p>
    <w:p w14:paraId="195C1611" w14:textId="48EFF90B" w:rsidR="00AE7B4E" w:rsidRDefault="00000000">
      <w:pPr>
        <w:pStyle w:val="Heading2"/>
        <w:spacing w:before="240" w:after="120"/>
      </w:pPr>
      <w:r>
        <w:rPr>
          <w:u w:val="single"/>
        </w:rPr>
        <w:t>1.3 The Workflow, End to End</w:t>
      </w:r>
    </w:p>
    <w:p w14:paraId="7CC755A0" w14:textId="77777777" w:rsidR="00AE7B4E" w:rsidRDefault="00000000">
      <w:pPr>
        <w:spacing w:after="140" w:line="300" w:lineRule="auto"/>
        <w:jc w:val="both"/>
      </w:pPr>
      <w:r>
        <w:t>One dispensing action touches both databases, each for a different reason. The sequence is set out below and illustrated in Figure 2.</w:t>
      </w:r>
    </w:p>
    <w:p w14:paraId="1E007165" w14:textId="77777777" w:rsidR="00D00106" w:rsidRPr="00D00106" w:rsidRDefault="00D00106">
      <w:pPr>
        <w:spacing w:after="140" w:line="300" w:lineRule="auto"/>
        <w:jc w:val="both"/>
        <w:rPr>
          <w:sz w:val="2"/>
          <w:szCs w:val="2"/>
        </w:rPr>
      </w:pPr>
    </w:p>
    <w:p w14:paraId="062CD7F6" w14:textId="77777777" w:rsidR="00AE7B4E" w:rsidRDefault="00000000">
      <w:pPr>
        <w:pStyle w:val="ListParagraph"/>
        <w:numPr>
          <w:ilvl w:val="0"/>
          <w:numId w:val="3"/>
        </w:numPr>
        <w:spacing w:after="100" w:line="300" w:lineRule="auto"/>
        <w:jc w:val="both"/>
      </w:pPr>
      <w:r>
        <w:t>The pharmacist searches for a medicine against a prescription.</w:t>
      </w:r>
    </w:p>
    <w:p w14:paraId="01659D29" w14:textId="77777777" w:rsidR="00AE7B4E" w:rsidRDefault="00000000">
      <w:pPr>
        <w:pStyle w:val="ListParagraph"/>
        <w:numPr>
          <w:ilvl w:val="0"/>
          <w:numId w:val="3"/>
        </w:numPr>
        <w:spacing w:after="100" w:line="300" w:lineRule="auto"/>
        <w:jc w:val="both"/>
      </w:pPr>
      <w:r>
        <w:t>PostgreSQL locks the relevant batch row and selects the batch nearest to expiry, following the FEFO (first expired, first out) rule.</w:t>
      </w:r>
    </w:p>
    <w:p w14:paraId="324AE87D" w14:textId="77777777" w:rsidR="00AE7B4E" w:rsidRDefault="00000000">
      <w:pPr>
        <w:pStyle w:val="ListParagraph"/>
        <w:numPr>
          <w:ilvl w:val="0"/>
          <w:numId w:val="3"/>
        </w:numPr>
        <w:spacing w:after="100" w:line="300" w:lineRule="auto"/>
        <w:jc w:val="both"/>
      </w:pPr>
      <w:r>
        <w:t>The backend queries MongoDB for interactions between all medicines on that prescription.</w:t>
      </w:r>
    </w:p>
    <w:p w14:paraId="7EC5DEE5" w14:textId="77777777" w:rsidR="00AE7B4E" w:rsidRDefault="00000000">
      <w:pPr>
        <w:pStyle w:val="ListParagraph"/>
        <w:numPr>
          <w:ilvl w:val="0"/>
          <w:numId w:val="3"/>
        </w:numPr>
        <w:spacing w:after="100" w:line="300" w:lineRule="auto"/>
        <w:jc w:val="both"/>
      </w:pPr>
      <w:r>
        <w:t>If a conflict is found, a warning is shown before the pharmacist is allowed to proceed.</w:t>
      </w:r>
    </w:p>
    <w:p w14:paraId="0804FA95" w14:textId="77777777" w:rsidR="00AE7B4E" w:rsidRDefault="00000000">
      <w:pPr>
        <w:pStyle w:val="ListParagraph"/>
        <w:numPr>
          <w:ilvl w:val="0"/>
          <w:numId w:val="3"/>
        </w:numPr>
        <w:spacing w:after="100" w:line="300" w:lineRule="auto"/>
        <w:jc w:val="both"/>
      </w:pPr>
      <w:r>
        <w:t>On confirmation, PostgreSQL commits the transaction and updates the stock quantity for that batch.</w:t>
      </w:r>
    </w:p>
    <w:p w14:paraId="420DD9E8" w14:textId="77777777" w:rsidR="00AE7B4E" w:rsidRDefault="00000000">
      <w:pPr>
        <w:pStyle w:val="ListParagraph"/>
        <w:numPr>
          <w:ilvl w:val="0"/>
          <w:numId w:val="3"/>
        </w:numPr>
        <w:spacing w:after="100" w:line="300" w:lineRule="auto"/>
        <w:jc w:val="both"/>
      </w:pPr>
      <w:r>
        <w:t>PostgreSQL writes an entry to the dispensing_events (audit_log) table as part of the same transaction, so the event record and the stock change succeed or fail together.</w:t>
      </w:r>
    </w:p>
    <w:p w14:paraId="6A23951E" w14:textId="77777777" w:rsidR="00AD3188" w:rsidRDefault="00AD3188" w:rsidP="00D00106">
      <w:pPr>
        <w:spacing w:after="100" w:line="300" w:lineRule="auto"/>
        <w:jc w:val="both"/>
      </w:pPr>
    </w:p>
    <w:p w14:paraId="519D4104" w14:textId="12DE7C49" w:rsidR="004A5F7E" w:rsidRDefault="00AD3188" w:rsidP="004A5F7E">
      <w:pPr>
        <w:pStyle w:val="ListParagraph"/>
        <w:spacing w:after="100" w:line="300" w:lineRule="auto"/>
        <w:ind w:left="720"/>
        <w:jc w:val="both"/>
      </w:pPr>
      <w:r>
        <w:rPr>
          <w:noProof/>
        </w:rPr>
        <w:lastRenderedPageBreak/>
        <w:drawing>
          <wp:anchor distT="0" distB="0" distL="114300" distR="114300" simplePos="0" relativeHeight="251658240" behindDoc="1" locked="0" layoutInCell="1" allowOverlap="1" wp14:anchorId="7A6DF048" wp14:editId="729472A7">
            <wp:simplePos x="0" y="0"/>
            <wp:positionH relativeFrom="margin">
              <wp:align>left</wp:align>
            </wp:positionH>
            <wp:positionV relativeFrom="paragraph">
              <wp:posOffset>0</wp:posOffset>
            </wp:positionV>
            <wp:extent cx="6019800" cy="8191500"/>
            <wp:effectExtent l="0" t="0" r="0" b="0"/>
            <wp:wrapTight wrapText="bothSides">
              <wp:wrapPolygon edited="0">
                <wp:start x="0" y="0"/>
                <wp:lineTo x="0" y="21550"/>
                <wp:lineTo x="21532" y="21550"/>
                <wp:lineTo x="21532" y="0"/>
                <wp:lineTo x="0" y="0"/>
              </wp:wrapPolygon>
            </wp:wrapTight>
            <wp:docPr id="2103218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9800" cy="8191500"/>
                    </a:xfrm>
                    <a:prstGeom prst="rect">
                      <a:avLst/>
                    </a:prstGeom>
                    <a:noFill/>
                    <a:ln>
                      <a:noFill/>
                    </a:ln>
                  </pic:spPr>
                </pic:pic>
              </a:graphicData>
            </a:graphic>
            <wp14:sizeRelH relativeFrom="margin">
              <wp14:pctWidth>0</wp14:pctWidth>
            </wp14:sizeRelH>
          </wp:anchor>
        </w:drawing>
      </w:r>
    </w:p>
    <w:p w14:paraId="57F88FD0" w14:textId="495D65F0" w:rsidR="00AE7B4E" w:rsidRDefault="00000000" w:rsidP="00AD3188">
      <w:pPr>
        <w:spacing w:before="120" w:after="220" w:line="300" w:lineRule="auto"/>
        <w:jc w:val="center"/>
      </w:pPr>
      <w:r>
        <w:rPr>
          <w:b/>
          <w:bCs/>
          <w:sz w:val="22"/>
          <w:szCs w:val="22"/>
        </w:rPr>
        <w:t>Figure 2: End-to-end dispensing workflow across PostgreSQL and MongoDB</w:t>
      </w:r>
      <w:r>
        <w:br w:type="page"/>
      </w:r>
    </w:p>
    <w:p w14:paraId="75B1FE18" w14:textId="77777777" w:rsidR="00AE7B4E" w:rsidRDefault="00000000">
      <w:pPr>
        <w:pStyle w:val="Heading1"/>
        <w:spacing w:before="320" w:after="160"/>
      </w:pPr>
      <w:r>
        <w:lastRenderedPageBreak/>
        <w:t>2. FRONT END AND DATABASE DETAILS</w:t>
      </w:r>
    </w:p>
    <w:p w14:paraId="03CD5F9D" w14:textId="0C0E3433" w:rsidR="00D00106" w:rsidRPr="00D00106" w:rsidRDefault="00000000" w:rsidP="00D00106">
      <w:pPr>
        <w:pStyle w:val="Heading2"/>
        <w:spacing w:before="240" w:after="120" w:line="360" w:lineRule="auto"/>
        <w:rPr>
          <w:u w:val="single"/>
        </w:rPr>
      </w:pPr>
      <w:r>
        <w:rPr>
          <w:u w:val="single"/>
        </w:rPr>
        <w:t>2.1 Front End Details</w:t>
      </w:r>
    </w:p>
    <w:p w14:paraId="37B51096" w14:textId="01BC3BF3" w:rsidR="00AE7B4E" w:rsidRDefault="00000000" w:rsidP="00D00106">
      <w:pPr>
        <w:spacing w:after="140" w:line="360" w:lineRule="auto"/>
        <w:jc w:val="both"/>
      </w:pPr>
      <w:r>
        <w:t>The relevant</w:t>
      </w:r>
      <w:r w:rsidR="004E6FBE">
        <w:t xml:space="preserve"> </w:t>
      </w:r>
      <w:proofErr w:type="gramStart"/>
      <w:r w:rsidR="004E6FBE">
        <w:t>Front End</w:t>
      </w:r>
      <w:proofErr w:type="gramEnd"/>
      <w:r w:rsidR="004E6FBE">
        <w:t xml:space="preserve"> details </w:t>
      </w:r>
      <w:r>
        <w:t>are:</w:t>
      </w:r>
    </w:p>
    <w:p w14:paraId="384A1CC4" w14:textId="77777777" w:rsidR="00AE7B4E" w:rsidRDefault="00000000">
      <w:pPr>
        <w:pStyle w:val="ListParagraph"/>
        <w:numPr>
          <w:ilvl w:val="0"/>
          <w:numId w:val="2"/>
        </w:numPr>
        <w:spacing w:after="100" w:line="300" w:lineRule="auto"/>
        <w:jc w:val="both"/>
      </w:pPr>
      <w:r>
        <w:t>A single dispensing screen: search a medicine, see batch and expiry, see any interaction warning, and confirm the dispense.</w:t>
      </w:r>
    </w:p>
    <w:p w14:paraId="0E3E4F9E" w14:textId="77777777" w:rsidR="00AE7B4E" w:rsidRDefault="00000000">
      <w:pPr>
        <w:pStyle w:val="ListParagraph"/>
        <w:numPr>
          <w:ilvl w:val="0"/>
          <w:numId w:val="2"/>
        </w:numPr>
        <w:spacing w:after="100" w:line="300" w:lineRule="auto"/>
        <w:jc w:val="both"/>
      </w:pPr>
      <w:r>
        <w:t>It will be built in React once the database logic and API layer are stable, so that effort is not split across both at this stage.</w:t>
      </w:r>
    </w:p>
    <w:p w14:paraId="07810DA9" w14:textId="77777777" w:rsidR="00AE7B4E" w:rsidRDefault="00000000">
      <w:pPr>
        <w:pStyle w:val="ListParagraph"/>
        <w:numPr>
          <w:ilvl w:val="0"/>
          <w:numId w:val="2"/>
        </w:numPr>
        <w:spacing w:after="100" w:line="300" w:lineRule="auto"/>
        <w:jc w:val="both"/>
      </w:pPr>
      <w:r>
        <w:t>It could even begin as a command-line interface or a set of API calls tested through Postman before any user interface exists, since the logic is what is being evaluated.</w:t>
      </w:r>
    </w:p>
    <w:p w14:paraId="7CF5B4C7" w14:textId="77777777" w:rsidR="00AE7B4E" w:rsidRDefault="00000000">
      <w:pPr>
        <w:pStyle w:val="ListParagraph"/>
        <w:numPr>
          <w:ilvl w:val="0"/>
          <w:numId w:val="2"/>
        </w:numPr>
        <w:spacing w:after="100" w:line="300" w:lineRule="auto"/>
        <w:jc w:val="both"/>
      </w:pPr>
      <w:r>
        <w:t>The purpose of the front end at this point is to prove the workflow end to end, not to be a polished product.</w:t>
      </w:r>
    </w:p>
    <w:p w14:paraId="0B51B8C1" w14:textId="77777777" w:rsidR="005B0DB1" w:rsidRPr="00D00106" w:rsidRDefault="005B0DB1" w:rsidP="005B0DB1">
      <w:pPr>
        <w:pStyle w:val="ListParagraph"/>
        <w:spacing w:after="100" w:line="300" w:lineRule="auto"/>
        <w:ind w:left="720"/>
        <w:jc w:val="both"/>
        <w:rPr>
          <w:sz w:val="18"/>
          <w:szCs w:val="18"/>
        </w:rPr>
      </w:pPr>
    </w:p>
    <w:p w14:paraId="792532D2" w14:textId="77777777" w:rsidR="00AE7B4E" w:rsidRDefault="00000000">
      <w:pPr>
        <w:spacing w:after="140" w:line="300" w:lineRule="auto"/>
        <w:jc w:val="both"/>
      </w:pPr>
      <w:r>
        <w:t>A rough layout of that single screen is shown in Figure 3.</w:t>
      </w:r>
    </w:p>
    <w:p w14:paraId="0D596943" w14:textId="77777777" w:rsidR="00D00106" w:rsidRPr="00D00106" w:rsidRDefault="00D00106">
      <w:pPr>
        <w:spacing w:after="140" w:line="300" w:lineRule="auto"/>
        <w:jc w:val="both"/>
        <w:rPr>
          <w:sz w:val="4"/>
          <w:szCs w:val="4"/>
        </w:rPr>
      </w:pPr>
    </w:p>
    <w:p w14:paraId="5C73FB64" w14:textId="2EB1B6B5" w:rsidR="005B0DB1" w:rsidRDefault="005B0DB1">
      <w:pPr>
        <w:spacing w:after="140" w:line="300" w:lineRule="auto"/>
        <w:jc w:val="both"/>
      </w:pPr>
      <w:r>
        <w:rPr>
          <w:noProof/>
        </w:rPr>
        <w:drawing>
          <wp:inline distT="0" distB="0" distL="0" distR="0" wp14:anchorId="62CB5D69" wp14:editId="59296874">
            <wp:extent cx="5724525" cy="3810000"/>
            <wp:effectExtent l="0" t="0" r="9525" b="0"/>
            <wp:docPr id="17373565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3A1B46DD" w14:textId="77777777" w:rsidR="00085C78" w:rsidRPr="00085C78" w:rsidRDefault="00085C78">
      <w:pPr>
        <w:spacing w:before="120" w:after="220" w:line="300" w:lineRule="auto"/>
        <w:jc w:val="center"/>
        <w:rPr>
          <w:b/>
          <w:bCs/>
          <w:sz w:val="10"/>
          <w:szCs w:val="10"/>
        </w:rPr>
      </w:pPr>
    </w:p>
    <w:p w14:paraId="25B8F40B" w14:textId="43FF743E" w:rsidR="00AE7B4E" w:rsidRDefault="00000000">
      <w:pPr>
        <w:spacing w:before="120" w:after="220" w:line="300" w:lineRule="auto"/>
        <w:jc w:val="center"/>
      </w:pPr>
      <w:r>
        <w:rPr>
          <w:b/>
          <w:bCs/>
          <w:sz w:val="22"/>
          <w:szCs w:val="22"/>
        </w:rPr>
        <w:t>Figure 3: Wireframe of the single dispensing screen</w:t>
      </w:r>
    </w:p>
    <w:p w14:paraId="15FDA606" w14:textId="77777777" w:rsidR="00AD3188" w:rsidRDefault="00AD3188">
      <w:pPr>
        <w:pStyle w:val="Heading2"/>
        <w:spacing w:before="240" w:after="120"/>
        <w:rPr>
          <w:u w:val="single"/>
        </w:rPr>
      </w:pPr>
    </w:p>
    <w:p w14:paraId="3971DD18" w14:textId="77777777" w:rsidR="00AD3188" w:rsidRDefault="00AD3188">
      <w:pPr>
        <w:pStyle w:val="Heading2"/>
        <w:spacing w:before="240" w:after="120"/>
        <w:rPr>
          <w:u w:val="single"/>
        </w:rPr>
      </w:pPr>
    </w:p>
    <w:p w14:paraId="2577B1A5" w14:textId="4A8FC114" w:rsidR="00D00106" w:rsidRPr="00D00106" w:rsidRDefault="00000000" w:rsidP="00D00106">
      <w:pPr>
        <w:pStyle w:val="Heading2"/>
        <w:spacing w:before="240" w:after="120" w:line="276" w:lineRule="auto"/>
        <w:rPr>
          <w:u w:val="single"/>
        </w:rPr>
      </w:pPr>
      <w:r>
        <w:rPr>
          <w:u w:val="single"/>
        </w:rPr>
        <w:lastRenderedPageBreak/>
        <w:t xml:space="preserve">2.2 Database Details </w:t>
      </w:r>
      <w:r w:rsidR="00085C78">
        <w:rPr>
          <w:u w:val="single"/>
        </w:rPr>
        <w:t>-</w:t>
      </w:r>
      <w:r>
        <w:rPr>
          <w:u w:val="single"/>
        </w:rPr>
        <w:t xml:space="preserve"> Overview</w:t>
      </w:r>
    </w:p>
    <w:p w14:paraId="4C41FEF1" w14:textId="77777777" w:rsidR="00AE7B4E" w:rsidRDefault="00000000" w:rsidP="00D00106">
      <w:pPr>
        <w:spacing w:after="140" w:line="276" w:lineRule="auto"/>
        <w:jc w:val="both"/>
      </w:pPr>
      <w:r>
        <w:t>The system uses exactly two databases. PostgreSQL is the transactional core, holding medicines, batches, prescriptions, stock movements and the dispensing audit log. MongoDB is the safety knowledge layer, holding drug interaction records and clinical guidelines. Each is described below with the concepts it is being used to demonstrate.</w:t>
      </w:r>
    </w:p>
    <w:p w14:paraId="10AE13BC" w14:textId="77777777" w:rsidR="00D00106" w:rsidRPr="00D00106" w:rsidRDefault="00D00106" w:rsidP="00D00106">
      <w:pPr>
        <w:spacing w:after="140" w:line="276" w:lineRule="auto"/>
        <w:jc w:val="both"/>
        <w:rPr>
          <w:sz w:val="4"/>
          <w:szCs w:val="4"/>
        </w:rPr>
      </w:pPr>
    </w:p>
    <w:p w14:paraId="1ADE33BA" w14:textId="77777777" w:rsidR="00AE7B4E" w:rsidRDefault="00000000" w:rsidP="00D00106">
      <w:pPr>
        <w:pStyle w:val="Heading2"/>
        <w:spacing w:before="240" w:after="120" w:line="276" w:lineRule="auto"/>
      </w:pPr>
      <w:r>
        <w:rPr>
          <w:u w:val="single"/>
        </w:rPr>
        <w:t>2.3 Database One - PostgreSQL: The Transactional Core</w:t>
      </w:r>
    </w:p>
    <w:p w14:paraId="597327AF" w14:textId="77777777" w:rsidR="00AE7B4E" w:rsidRDefault="00000000" w:rsidP="00D00106">
      <w:pPr>
        <w:spacing w:after="140" w:line="276" w:lineRule="auto"/>
        <w:jc w:val="both"/>
      </w:pPr>
      <w:r>
        <w:t>Why PostgreSQL here: inventory counts and prescriptions are relational by nature and directly tied to stock and billing. If two people attempt to dispense the last unit of a batch at the same time, this concurrency issue must be prevented. PostgreSQL’s ACID guarantees make this possible.</w:t>
      </w:r>
    </w:p>
    <w:p w14:paraId="017EB8B7" w14:textId="77777777" w:rsidR="00D00106" w:rsidRPr="00D00106" w:rsidRDefault="00D00106" w:rsidP="00D00106">
      <w:pPr>
        <w:spacing w:after="140" w:line="276" w:lineRule="auto"/>
        <w:jc w:val="both"/>
        <w:rPr>
          <w:sz w:val="8"/>
          <w:szCs w:val="8"/>
        </w:rPr>
      </w:pPr>
    </w:p>
    <w:p w14:paraId="31C6387F" w14:textId="77777777" w:rsidR="00AE7B4E" w:rsidRDefault="00000000" w:rsidP="00D00106">
      <w:pPr>
        <w:pStyle w:val="ListParagraph"/>
        <w:numPr>
          <w:ilvl w:val="0"/>
          <w:numId w:val="5"/>
        </w:numPr>
        <w:spacing w:after="100" w:line="300" w:lineRule="auto"/>
        <w:jc w:val="both"/>
      </w:pPr>
      <w:r>
        <w:rPr>
          <w:b/>
          <w:bCs/>
        </w:rPr>
        <w:t xml:space="preserve">ACID transactions. </w:t>
      </w:r>
      <w:r>
        <w:t>The whole dispense operation, from checking stock to updating quantity to writing the audit row, runs inside one transaction. If any step fails, everything rolls back and nothing is left half-updated.</w:t>
      </w:r>
    </w:p>
    <w:p w14:paraId="6EC0EEAB" w14:textId="77777777" w:rsidR="00D00106" w:rsidRPr="00D00106" w:rsidRDefault="00D00106" w:rsidP="00D00106">
      <w:pPr>
        <w:pStyle w:val="ListParagraph"/>
        <w:spacing w:after="100" w:line="300" w:lineRule="auto"/>
        <w:ind w:left="720"/>
        <w:jc w:val="both"/>
        <w:rPr>
          <w:sz w:val="10"/>
          <w:szCs w:val="10"/>
        </w:rPr>
      </w:pPr>
    </w:p>
    <w:p w14:paraId="1C722466" w14:textId="77777777" w:rsidR="00AE7B4E" w:rsidRDefault="00000000" w:rsidP="00D00106">
      <w:pPr>
        <w:pStyle w:val="ListParagraph"/>
        <w:numPr>
          <w:ilvl w:val="0"/>
          <w:numId w:val="5"/>
        </w:numPr>
        <w:spacing w:after="100" w:line="300" w:lineRule="auto"/>
        <w:jc w:val="both"/>
      </w:pPr>
      <w:r>
        <w:rPr>
          <w:b/>
          <w:bCs/>
        </w:rPr>
        <w:t xml:space="preserve">Row-level locking. </w:t>
      </w:r>
      <w:r>
        <w:t>SELECT ... FOR UPDATE locks the batch row being read. A second pharmacist trying to dispense from the same batch has to wait until the first transaction commits or rolls back.</w:t>
      </w:r>
    </w:p>
    <w:p w14:paraId="74BFCB59" w14:textId="77777777" w:rsidR="00D00106" w:rsidRPr="00D00106" w:rsidRDefault="00D00106" w:rsidP="00D00106">
      <w:pPr>
        <w:pStyle w:val="ListParagraph"/>
        <w:rPr>
          <w:sz w:val="10"/>
          <w:szCs w:val="10"/>
        </w:rPr>
      </w:pPr>
    </w:p>
    <w:p w14:paraId="27BF662E" w14:textId="77777777" w:rsidR="00D00106" w:rsidRPr="00D00106" w:rsidRDefault="00D00106" w:rsidP="00D00106">
      <w:pPr>
        <w:pStyle w:val="ListParagraph"/>
        <w:spacing w:after="100" w:line="300" w:lineRule="auto"/>
        <w:ind w:left="720"/>
        <w:jc w:val="both"/>
        <w:rPr>
          <w:sz w:val="2"/>
          <w:szCs w:val="2"/>
        </w:rPr>
      </w:pPr>
    </w:p>
    <w:p w14:paraId="61EB22BC" w14:textId="77777777" w:rsidR="00AE7B4E" w:rsidRDefault="00000000" w:rsidP="00D00106">
      <w:pPr>
        <w:pStyle w:val="ListParagraph"/>
        <w:numPr>
          <w:ilvl w:val="0"/>
          <w:numId w:val="5"/>
        </w:numPr>
        <w:spacing w:after="100" w:line="300" w:lineRule="auto"/>
        <w:jc w:val="both"/>
      </w:pPr>
      <w:r>
        <w:rPr>
          <w:b/>
          <w:bCs/>
        </w:rPr>
        <w:t xml:space="preserve">Indexing for FEFO. </w:t>
      </w:r>
      <w:r>
        <w:t>A B-tree index on expiry_date within each medicine’s batches means the “pick the earliest expiring batch” query stays fast even as batch history grows.</w:t>
      </w:r>
    </w:p>
    <w:p w14:paraId="5E3F0527" w14:textId="77777777" w:rsidR="00D00106" w:rsidRPr="00D00106" w:rsidRDefault="00D00106" w:rsidP="00D00106">
      <w:pPr>
        <w:pStyle w:val="ListParagraph"/>
        <w:spacing w:after="100" w:line="300" w:lineRule="auto"/>
        <w:ind w:left="720"/>
        <w:jc w:val="both"/>
        <w:rPr>
          <w:sz w:val="10"/>
          <w:szCs w:val="10"/>
        </w:rPr>
      </w:pPr>
    </w:p>
    <w:p w14:paraId="14A083A8" w14:textId="77777777" w:rsidR="00AE7B4E" w:rsidRDefault="00000000" w:rsidP="00D00106">
      <w:pPr>
        <w:pStyle w:val="ListParagraph"/>
        <w:numPr>
          <w:ilvl w:val="0"/>
          <w:numId w:val="5"/>
        </w:numPr>
        <w:spacing w:after="100" w:line="300" w:lineRule="auto"/>
        <w:jc w:val="both"/>
      </w:pPr>
      <w:r>
        <w:rPr>
          <w:b/>
          <w:bCs/>
        </w:rPr>
        <w:t xml:space="preserve">Referential integrity. </w:t>
      </w:r>
      <w:r>
        <w:t>Foreign keys tie batches to medicines and prescriptions to medicines. A batch cannot be inserted for a medicine that does not exist, and the database enforces that rather than the application code.</w:t>
      </w:r>
    </w:p>
    <w:p w14:paraId="290CF979" w14:textId="77777777" w:rsidR="00D00106" w:rsidRPr="00D00106" w:rsidRDefault="00D00106" w:rsidP="00D00106">
      <w:pPr>
        <w:pStyle w:val="ListParagraph"/>
        <w:rPr>
          <w:sz w:val="12"/>
          <w:szCs w:val="12"/>
        </w:rPr>
      </w:pPr>
    </w:p>
    <w:p w14:paraId="7C216AD9" w14:textId="77777777" w:rsidR="00D00106" w:rsidRPr="00D00106" w:rsidRDefault="00D00106" w:rsidP="00D00106">
      <w:pPr>
        <w:pStyle w:val="ListParagraph"/>
        <w:spacing w:after="100" w:line="300" w:lineRule="auto"/>
        <w:ind w:left="720"/>
        <w:jc w:val="both"/>
        <w:rPr>
          <w:sz w:val="2"/>
          <w:szCs w:val="2"/>
        </w:rPr>
      </w:pPr>
    </w:p>
    <w:p w14:paraId="6CE77315" w14:textId="77777777" w:rsidR="00AE7B4E" w:rsidRDefault="00000000" w:rsidP="00D00106">
      <w:pPr>
        <w:pStyle w:val="ListParagraph"/>
        <w:numPr>
          <w:ilvl w:val="0"/>
          <w:numId w:val="5"/>
        </w:numPr>
        <w:spacing w:after="100" w:line="300" w:lineRule="auto"/>
        <w:jc w:val="both"/>
      </w:pPr>
      <w:r>
        <w:rPr>
          <w:b/>
          <w:bCs/>
        </w:rPr>
        <w:t xml:space="preserve">Audit logging. </w:t>
      </w:r>
      <w:r>
        <w:t>A dispensing_events table records every dispense, stock adjustment and batch receipt as an append-only row, written as part of the same transaction that changes the stock.</w:t>
      </w:r>
    </w:p>
    <w:p w14:paraId="0DC5AAFD" w14:textId="77777777" w:rsidR="00D00106" w:rsidRDefault="00D00106" w:rsidP="00D00106">
      <w:pPr>
        <w:pStyle w:val="ListParagraph"/>
        <w:spacing w:after="100" w:line="300" w:lineRule="auto"/>
        <w:ind w:left="720"/>
        <w:jc w:val="both"/>
        <w:rPr>
          <w:b/>
          <w:bCs/>
        </w:rPr>
      </w:pPr>
    </w:p>
    <w:p w14:paraId="13F730D9" w14:textId="77777777" w:rsidR="00D00106" w:rsidRDefault="00D00106" w:rsidP="00D00106">
      <w:pPr>
        <w:pStyle w:val="ListParagraph"/>
        <w:spacing w:after="100" w:line="300" w:lineRule="auto"/>
        <w:ind w:left="720"/>
        <w:jc w:val="both"/>
        <w:rPr>
          <w:b/>
          <w:bCs/>
        </w:rPr>
      </w:pPr>
    </w:p>
    <w:p w14:paraId="2D35268B" w14:textId="77777777" w:rsidR="00D00106" w:rsidRDefault="00D00106" w:rsidP="00D00106">
      <w:pPr>
        <w:pStyle w:val="ListParagraph"/>
        <w:spacing w:after="100" w:line="300" w:lineRule="auto"/>
        <w:ind w:left="720"/>
        <w:jc w:val="both"/>
        <w:rPr>
          <w:b/>
          <w:bCs/>
        </w:rPr>
      </w:pPr>
    </w:p>
    <w:p w14:paraId="0AF00C8F" w14:textId="77777777" w:rsidR="00D00106" w:rsidRDefault="00D00106" w:rsidP="00D00106">
      <w:pPr>
        <w:pStyle w:val="ListParagraph"/>
        <w:spacing w:after="100" w:line="300" w:lineRule="auto"/>
        <w:ind w:left="720"/>
        <w:jc w:val="both"/>
        <w:rPr>
          <w:b/>
          <w:bCs/>
        </w:rPr>
      </w:pPr>
    </w:p>
    <w:p w14:paraId="48C4A708" w14:textId="77777777" w:rsidR="00D00106" w:rsidRDefault="00D00106" w:rsidP="00D00106">
      <w:pPr>
        <w:pStyle w:val="ListParagraph"/>
        <w:spacing w:after="100" w:line="300" w:lineRule="auto"/>
        <w:ind w:left="720"/>
        <w:jc w:val="both"/>
        <w:rPr>
          <w:b/>
          <w:bCs/>
        </w:rPr>
      </w:pPr>
    </w:p>
    <w:p w14:paraId="6F22B30A" w14:textId="77777777" w:rsidR="00D00106" w:rsidRDefault="00D00106" w:rsidP="00D00106">
      <w:pPr>
        <w:pStyle w:val="ListParagraph"/>
        <w:spacing w:after="100" w:line="300" w:lineRule="auto"/>
        <w:ind w:left="720"/>
        <w:jc w:val="both"/>
        <w:rPr>
          <w:b/>
          <w:bCs/>
        </w:rPr>
      </w:pPr>
    </w:p>
    <w:p w14:paraId="52E006E4" w14:textId="77777777" w:rsidR="00D00106" w:rsidRDefault="00D00106" w:rsidP="00D00106">
      <w:pPr>
        <w:spacing w:after="100" w:line="300" w:lineRule="auto"/>
        <w:jc w:val="both"/>
      </w:pPr>
    </w:p>
    <w:p w14:paraId="36E9E233" w14:textId="4BBF4909" w:rsidR="00AE7B4E" w:rsidRDefault="00000000" w:rsidP="00D00106">
      <w:pPr>
        <w:spacing w:after="140" w:line="300" w:lineRule="auto"/>
        <w:jc w:val="both"/>
      </w:pPr>
      <w:r>
        <w:lastRenderedPageBreak/>
        <w:t>The relational schema, including the foreign-key relationships and the audit table, is shown in Figure 4.</w:t>
      </w:r>
    </w:p>
    <w:p w14:paraId="2C939658" w14:textId="0461C0E1" w:rsidR="00D00106" w:rsidRDefault="00D00106" w:rsidP="00D00106">
      <w:pPr>
        <w:spacing w:after="140" w:line="300" w:lineRule="auto"/>
        <w:jc w:val="both"/>
      </w:pPr>
      <w:r w:rsidRPr="00D00106">
        <w:drawing>
          <wp:anchor distT="0" distB="0" distL="114300" distR="114300" simplePos="0" relativeHeight="251659264" behindDoc="1" locked="0" layoutInCell="1" allowOverlap="1" wp14:anchorId="5128C1C2" wp14:editId="4ED69800">
            <wp:simplePos x="0" y="0"/>
            <wp:positionH relativeFrom="margin">
              <wp:posOffset>-567690</wp:posOffset>
            </wp:positionH>
            <wp:positionV relativeFrom="paragraph">
              <wp:posOffset>234950</wp:posOffset>
            </wp:positionV>
            <wp:extent cx="6874510" cy="6874510"/>
            <wp:effectExtent l="0" t="0" r="2540" b="2540"/>
            <wp:wrapTight wrapText="bothSides">
              <wp:wrapPolygon edited="0">
                <wp:start x="0" y="0"/>
                <wp:lineTo x="0" y="21548"/>
                <wp:lineTo x="21548" y="21548"/>
                <wp:lineTo x="21548" y="0"/>
                <wp:lineTo x="0" y="0"/>
              </wp:wrapPolygon>
            </wp:wrapTight>
            <wp:docPr id="16497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91285" name=""/>
                    <pic:cNvPicPr/>
                  </pic:nvPicPr>
                  <pic:blipFill>
                    <a:blip r:embed="rId11">
                      <a:extLst>
                        <a:ext uri="{28A0092B-C50C-407E-A947-70E740481C1C}">
                          <a14:useLocalDpi xmlns:a14="http://schemas.microsoft.com/office/drawing/2010/main" val="0"/>
                        </a:ext>
                      </a:extLst>
                    </a:blip>
                    <a:stretch>
                      <a:fillRect/>
                    </a:stretch>
                  </pic:blipFill>
                  <pic:spPr>
                    <a:xfrm>
                      <a:off x="0" y="0"/>
                      <a:ext cx="6874510" cy="6874510"/>
                    </a:xfrm>
                    <a:prstGeom prst="rect">
                      <a:avLst/>
                    </a:prstGeom>
                  </pic:spPr>
                </pic:pic>
              </a:graphicData>
            </a:graphic>
            <wp14:sizeRelH relativeFrom="margin">
              <wp14:pctWidth>0</wp14:pctWidth>
            </wp14:sizeRelH>
            <wp14:sizeRelV relativeFrom="margin">
              <wp14:pctHeight>0</wp14:pctHeight>
            </wp14:sizeRelV>
          </wp:anchor>
        </w:drawing>
      </w:r>
    </w:p>
    <w:p w14:paraId="525A4803" w14:textId="77777777" w:rsidR="00D00106" w:rsidRDefault="00D00106">
      <w:pPr>
        <w:spacing w:before="120" w:after="220" w:line="300" w:lineRule="auto"/>
        <w:jc w:val="center"/>
        <w:rPr>
          <w:b/>
          <w:bCs/>
          <w:sz w:val="22"/>
          <w:szCs w:val="22"/>
        </w:rPr>
      </w:pPr>
    </w:p>
    <w:p w14:paraId="6CB394C5" w14:textId="190C0DE7" w:rsidR="00D00106" w:rsidRPr="00D00106" w:rsidRDefault="00000000" w:rsidP="00D00106">
      <w:pPr>
        <w:spacing w:before="120" w:after="220" w:line="300" w:lineRule="auto"/>
        <w:jc w:val="center"/>
        <w:rPr>
          <w:b/>
          <w:bCs/>
          <w:sz w:val="22"/>
          <w:szCs w:val="22"/>
        </w:rPr>
      </w:pPr>
      <w:r>
        <w:rPr>
          <w:b/>
          <w:bCs/>
          <w:sz w:val="22"/>
          <w:szCs w:val="22"/>
        </w:rPr>
        <w:t>Figure 4: ER diagram of the PostgreSQL schema</w:t>
      </w:r>
    </w:p>
    <w:p w14:paraId="298060A0" w14:textId="77777777" w:rsidR="00D00106" w:rsidRDefault="00D00106">
      <w:pPr>
        <w:pStyle w:val="Heading2"/>
        <w:spacing w:before="240" w:after="120"/>
        <w:rPr>
          <w:u w:val="single"/>
        </w:rPr>
      </w:pPr>
    </w:p>
    <w:p w14:paraId="60506743" w14:textId="7DB1CFDE" w:rsidR="00AE7B4E" w:rsidRDefault="00000000" w:rsidP="00085C78">
      <w:pPr>
        <w:pStyle w:val="Heading2"/>
        <w:spacing w:before="240" w:after="120" w:line="276" w:lineRule="auto"/>
      </w:pPr>
      <w:r>
        <w:rPr>
          <w:u w:val="single"/>
        </w:rPr>
        <w:lastRenderedPageBreak/>
        <w:t>2.3.1 The FEFO Query</w:t>
      </w:r>
    </w:p>
    <w:p w14:paraId="07966C08" w14:textId="77777777" w:rsidR="00AE7B4E" w:rsidRDefault="00000000" w:rsidP="00085C78">
      <w:pPr>
        <w:spacing w:after="140" w:line="276" w:lineRule="auto"/>
        <w:jc w:val="both"/>
      </w:pPr>
      <w:r>
        <w:t xml:space="preserve">This is the query at the centre of the transactional design. It is also the query that needs the lock, because two transactions could otherwise both read the same row before </w:t>
      </w:r>
      <w:proofErr w:type="gramStart"/>
      <w:r>
        <w:t>either commits</w:t>
      </w:r>
      <w:proofErr w:type="gramEnd"/>
      <w:r>
        <w:t>.</w:t>
      </w:r>
    </w:p>
    <w:p w14:paraId="7846FA3E" w14:textId="77777777" w:rsidR="00085C78" w:rsidRPr="00085C78" w:rsidRDefault="00085C78">
      <w:pPr>
        <w:spacing w:after="140" w:line="300" w:lineRule="auto"/>
        <w:jc w:val="both"/>
        <w:rPr>
          <w:sz w:val="12"/>
          <w:szCs w:val="12"/>
        </w:rPr>
      </w:pPr>
    </w:p>
    <w:p w14:paraId="30BB1798"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SELECT * FROM batches</w:t>
      </w:r>
    </w:p>
    <w:p w14:paraId="1484EDE6"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WHERE medicine_id = $1 AND quantity &gt; 0</w:t>
      </w:r>
    </w:p>
    <w:p w14:paraId="4AA75590"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ORDER BY expiry_date ASC</w:t>
      </w:r>
    </w:p>
    <w:p w14:paraId="108A5A52"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LIMIT 1</w:t>
      </w:r>
    </w:p>
    <w:p w14:paraId="26B7A992"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FOR UPDATE;</w:t>
      </w:r>
    </w:p>
    <w:p w14:paraId="6EF11F34" w14:textId="77777777" w:rsidR="00AE7B4E" w:rsidRDefault="00AE7B4E">
      <w:pPr>
        <w:spacing w:after="140"/>
      </w:pPr>
    </w:p>
    <w:p w14:paraId="3346ED93" w14:textId="77777777" w:rsidR="00AE7B4E" w:rsidRDefault="00000000">
      <w:pPr>
        <w:spacing w:after="140" w:line="300" w:lineRule="auto"/>
        <w:jc w:val="both"/>
      </w:pPr>
      <w:r>
        <w:t>Figure 5 traces what happens when two pharmacists attempt to dispense from the same batch at the same instant, and shows how the row lock serialises them.</w:t>
      </w:r>
    </w:p>
    <w:p w14:paraId="19FAA664" w14:textId="77777777" w:rsidR="00085C78" w:rsidRPr="00085C78" w:rsidRDefault="00085C78">
      <w:pPr>
        <w:spacing w:after="140" w:line="300" w:lineRule="auto"/>
        <w:jc w:val="both"/>
        <w:rPr>
          <w:sz w:val="2"/>
          <w:szCs w:val="2"/>
        </w:rPr>
      </w:pPr>
    </w:p>
    <w:p w14:paraId="40464F9D" w14:textId="6E416CFF" w:rsidR="00085C78" w:rsidRPr="00085C78" w:rsidRDefault="00085C78">
      <w:pPr>
        <w:spacing w:after="140" w:line="300" w:lineRule="auto"/>
        <w:jc w:val="both"/>
        <w:rPr>
          <w:sz w:val="8"/>
          <w:szCs w:val="8"/>
        </w:rPr>
      </w:pPr>
      <w:r w:rsidRPr="00085C78">
        <w:drawing>
          <wp:anchor distT="0" distB="0" distL="114300" distR="114300" simplePos="0" relativeHeight="251660288" behindDoc="1" locked="0" layoutInCell="1" allowOverlap="1" wp14:anchorId="121D7448" wp14:editId="77DF260A">
            <wp:simplePos x="0" y="0"/>
            <wp:positionH relativeFrom="margin">
              <wp:align>left</wp:align>
            </wp:positionH>
            <wp:positionV relativeFrom="paragraph">
              <wp:posOffset>165735</wp:posOffset>
            </wp:positionV>
            <wp:extent cx="6078855" cy="5581650"/>
            <wp:effectExtent l="0" t="0" r="0" b="0"/>
            <wp:wrapTight wrapText="bothSides">
              <wp:wrapPolygon edited="0">
                <wp:start x="0" y="0"/>
                <wp:lineTo x="0" y="21526"/>
                <wp:lineTo x="21526" y="21526"/>
                <wp:lineTo x="21526" y="0"/>
                <wp:lineTo x="0" y="0"/>
              </wp:wrapPolygon>
            </wp:wrapTight>
            <wp:docPr id="38683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32985" name=""/>
                    <pic:cNvPicPr/>
                  </pic:nvPicPr>
                  <pic:blipFill>
                    <a:blip r:embed="rId12">
                      <a:extLst>
                        <a:ext uri="{28A0092B-C50C-407E-A947-70E740481C1C}">
                          <a14:useLocalDpi xmlns:a14="http://schemas.microsoft.com/office/drawing/2010/main" val="0"/>
                        </a:ext>
                      </a:extLst>
                    </a:blip>
                    <a:stretch>
                      <a:fillRect/>
                    </a:stretch>
                  </pic:blipFill>
                  <pic:spPr>
                    <a:xfrm>
                      <a:off x="0" y="0"/>
                      <a:ext cx="6078855" cy="5581650"/>
                    </a:xfrm>
                    <a:prstGeom prst="rect">
                      <a:avLst/>
                    </a:prstGeom>
                  </pic:spPr>
                </pic:pic>
              </a:graphicData>
            </a:graphic>
            <wp14:sizeRelH relativeFrom="margin">
              <wp14:pctWidth>0</wp14:pctWidth>
            </wp14:sizeRelH>
            <wp14:sizeRelV relativeFrom="margin">
              <wp14:pctHeight>0</wp14:pctHeight>
            </wp14:sizeRelV>
          </wp:anchor>
        </w:drawing>
      </w:r>
    </w:p>
    <w:p w14:paraId="262750D7" w14:textId="6734C39E" w:rsidR="00085C78" w:rsidRPr="00085C78" w:rsidRDefault="00085C78">
      <w:pPr>
        <w:spacing w:after="140" w:line="300" w:lineRule="auto"/>
        <w:jc w:val="both"/>
        <w:rPr>
          <w:sz w:val="12"/>
          <w:szCs w:val="12"/>
        </w:rPr>
      </w:pPr>
    </w:p>
    <w:p w14:paraId="7AED2833" w14:textId="77777777" w:rsidR="00AE7B4E" w:rsidRDefault="00000000">
      <w:pPr>
        <w:spacing w:before="120" w:after="220" w:line="300" w:lineRule="auto"/>
        <w:jc w:val="center"/>
      </w:pPr>
      <w:r>
        <w:rPr>
          <w:b/>
          <w:bCs/>
          <w:sz w:val="22"/>
          <w:szCs w:val="22"/>
        </w:rPr>
        <w:t>Figure 5: Concurrent dispensing handled by row-level locking (SELECT ... FOR UPDATE)</w:t>
      </w:r>
    </w:p>
    <w:p w14:paraId="772C28D5" w14:textId="77777777" w:rsidR="00AE7B4E" w:rsidRDefault="00000000" w:rsidP="00085C78">
      <w:pPr>
        <w:pStyle w:val="Heading2"/>
        <w:spacing w:before="240" w:after="120" w:line="276" w:lineRule="auto"/>
      </w:pPr>
      <w:r>
        <w:rPr>
          <w:u w:val="single"/>
        </w:rPr>
        <w:lastRenderedPageBreak/>
        <w:t>2.3.2 The Dispensing Event / Audit Log Table</w:t>
      </w:r>
    </w:p>
    <w:p w14:paraId="74275A67" w14:textId="77777777" w:rsidR="00AE7B4E" w:rsidRDefault="00000000" w:rsidP="00085C78">
      <w:pPr>
        <w:spacing w:after="140" w:line="276" w:lineRule="auto"/>
        <w:jc w:val="both"/>
      </w:pPr>
      <w:r>
        <w:t>Every dispense, stock adjustment and batch receipt generates an event that has to be recorded. Rather than introducing a separate database engine for this, the log is implemented as an ordinary PostgreSQL table written to as part of, or immediately after, the dispensing transaction commits. The table is deliberately narrow and append-only:</w:t>
      </w:r>
    </w:p>
    <w:p w14:paraId="4DAD7B24" w14:textId="77777777" w:rsidR="00085C78" w:rsidRPr="00085C78" w:rsidRDefault="00085C78">
      <w:pPr>
        <w:spacing w:after="140" w:line="300" w:lineRule="auto"/>
        <w:jc w:val="both"/>
        <w:rPr>
          <w:sz w:val="14"/>
          <w:szCs w:val="14"/>
        </w:rPr>
      </w:pPr>
    </w:p>
    <w:p w14:paraId="24C41855"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dispensing_events (</w:t>
      </w:r>
    </w:p>
    <w:p w14:paraId="11E6328C"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 xml:space="preserve">    event_id          BIGSERIAL PRIMARY KEY,</w:t>
      </w:r>
    </w:p>
    <w:p w14:paraId="472DEB24"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 xml:space="preserve">    medicine_id       INT       REFERENCES medicines(medicine_id),</w:t>
      </w:r>
    </w:p>
    <w:p w14:paraId="47A2AC74"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 xml:space="preserve">    batch_id          INT       REFERENCES batches(batch_id),</w:t>
      </w:r>
    </w:p>
    <w:p w14:paraId="46BEB8F4"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 xml:space="preserve">    event_type        VARCHAR(30) NOT NULL,</w:t>
      </w:r>
    </w:p>
    <w:p w14:paraId="1DCA482D"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 xml:space="preserve">    quantity_changed  INT       NOT NULL,</w:t>
      </w:r>
    </w:p>
    <w:p w14:paraId="743FB086"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 xml:space="preserve">    performed_by      INT       REFERENCES users(user_id),</w:t>
      </w:r>
    </w:p>
    <w:p w14:paraId="4A63FE23"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 xml:space="preserve">    event_timestamp   TIMESTAMPTZ NOT NULL DEFAULT now()</w:t>
      </w:r>
    </w:p>
    <w:p w14:paraId="79196F7C" w14:textId="77777777" w:rsidR="00AE7B4E" w:rsidRPr="00085C78" w:rsidRDefault="00000000">
      <w:pPr>
        <w:spacing w:line="260" w:lineRule="auto"/>
        <w:ind w:left="720"/>
        <w:rPr>
          <w:sz w:val="28"/>
          <w:szCs w:val="28"/>
        </w:rPr>
      </w:pPr>
      <w:r w:rsidRPr="00085C78">
        <w:rPr>
          <w:rFonts w:ascii="Courier New" w:eastAsia="Courier New" w:hAnsi="Courier New" w:cs="Courier New"/>
          <w:sz w:val="22"/>
          <w:szCs w:val="22"/>
        </w:rPr>
        <w:t>);</w:t>
      </w:r>
    </w:p>
    <w:p w14:paraId="5FD6E207" w14:textId="77777777" w:rsidR="00AE7B4E" w:rsidRDefault="00AE7B4E">
      <w:pPr>
        <w:spacing w:after="140"/>
      </w:pPr>
    </w:p>
    <w:p w14:paraId="51AA1BA8" w14:textId="77777777" w:rsidR="00AE7B4E" w:rsidRDefault="00000000">
      <w:pPr>
        <w:spacing w:after="140" w:line="300" w:lineRule="auto"/>
        <w:jc w:val="both"/>
      </w:pPr>
      <w:r>
        <w:t>An index on (medicine_id, event_timestamp DESC) supports the query the system actually asks of this table: “show me the recent history for this medicine, most recent first”, without a full table scan. A secondary index on event_timestamp alone supports time-window reporting such as “most dispensed medicines this week”, supporting reporting queries such as identifying the most dispensed medicines in a given week.</w:t>
      </w:r>
    </w:p>
    <w:p w14:paraId="783DE065" w14:textId="77777777" w:rsidR="00085C78" w:rsidRPr="00085C78" w:rsidRDefault="00085C78">
      <w:pPr>
        <w:spacing w:after="140" w:line="300" w:lineRule="auto"/>
        <w:jc w:val="both"/>
        <w:rPr>
          <w:sz w:val="2"/>
          <w:szCs w:val="2"/>
        </w:rPr>
      </w:pPr>
    </w:p>
    <w:p w14:paraId="05F3D234" w14:textId="77777777" w:rsidR="00AE7B4E" w:rsidRDefault="00000000">
      <w:pPr>
        <w:spacing w:after="140" w:line="300" w:lineRule="auto"/>
        <w:jc w:val="both"/>
      </w:pPr>
      <w:r>
        <w:t>This table is not the source of truth for current stock; the batches table is. The audit log is a record of what happened over time, and because it is written inside the same transaction, it can never disagree with the stock change it describes.</w:t>
      </w:r>
    </w:p>
    <w:p w14:paraId="74105732" w14:textId="77777777" w:rsidR="007E0527" w:rsidRDefault="007E0527">
      <w:pPr>
        <w:spacing w:after="140" w:line="300" w:lineRule="auto"/>
        <w:jc w:val="both"/>
      </w:pPr>
    </w:p>
    <w:p w14:paraId="12CF253F" w14:textId="77777777" w:rsidR="007E0527" w:rsidRDefault="007E0527">
      <w:pPr>
        <w:spacing w:after="140" w:line="300" w:lineRule="auto"/>
        <w:jc w:val="both"/>
      </w:pPr>
    </w:p>
    <w:p w14:paraId="0D63D511" w14:textId="77777777" w:rsidR="007E0527" w:rsidRDefault="007E0527">
      <w:pPr>
        <w:spacing w:after="140" w:line="300" w:lineRule="auto"/>
        <w:jc w:val="both"/>
      </w:pPr>
    </w:p>
    <w:p w14:paraId="574DC596" w14:textId="77777777" w:rsidR="007E0527" w:rsidRDefault="007E0527">
      <w:pPr>
        <w:spacing w:after="140" w:line="300" w:lineRule="auto"/>
        <w:jc w:val="both"/>
      </w:pPr>
    </w:p>
    <w:p w14:paraId="29464444" w14:textId="77777777" w:rsidR="007E0527" w:rsidRDefault="007E0527">
      <w:pPr>
        <w:spacing w:after="140" w:line="300" w:lineRule="auto"/>
        <w:jc w:val="both"/>
      </w:pPr>
    </w:p>
    <w:p w14:paraId="5E76390B" w14:textId="77777777" w:rsidR="007E0527" w:rsidRDefault="007E0527">
      <w:pPr>
        <w:spacing w:after="140" w:line="300" w:lineRule="auto"/>
        <w:jc w:val="both"/>
      </w:pPr>
    </w:p>
    <w:p w14:paraId="11B6D5F5" w14:textId="77777777" w:rsidR="007E0527" w:rsidRDefault="007E0527">
      <w:pPr>
        <w:spacing w:after="140" w:line="300" w:lineRule="auto"/>
        <w:jc w:val="both"/>
      </w:pPr>
    </w:p>
    <w:p w14:paraId="236B9F07" w14:textId="77777777" w:rsidR="007E0527" w:rsidRDefault="007E0527">
      <w:pPr>
        <w:spacing w:after="140" w:line="300" w:lineRule="auto"/>
        <w:jc w:val="both"/>
      </w:pPr>
    </w:p>
    <w:p w14:paraId="5F329FB1" w14:textId="77777777" w:rsidR="007E0527" w:rsidRDefault="007E0527">
      <w:pPr>
        <w:spacing w:after="140" w:line="300" w:lineRule="auto"/>
        <w:jc w:val="both"/>
      </w:pPr>
    </w:p>
    <w:p w14:paraId="13B5C03B" w14:textId="77777777" w:rsidR="007E0527" w:rsidRDefault="007E0527">
      <w:pPr>
        <w:spacing w:after="140" w:line="300" w:lineRule="auto"/>
        <w:jc w:val="both"/>
      </w:pPr>
    </w:p>
    <w:p w14:paraId="0DF552AE" w14:textId="77777777" w:rsidR="007E0527" w:rsidRDefault="007E0527">
      <w:pPr>
        <w:spacing w:after="140" w:line="300" w:lineRule="auto"/>
        <w:jc w:val="both"/>
      </w:pPr>
    </w:p>
    <w:p w14:paraId="57A7C587" w14:textId="77777777" w:rsidR="00085C78" w:rsidRPr="00085C78" w:rsidRDefault="00085C78">
      <w:pPr>
        <w:spacing w:after="140" w:line="300" w:lineRule="auto"/>
        <w:jc w:val="both"/>
        <w:rPr>
          <w:sz w:val="2"/>
          <w:szCs w:val="2"/>
        </w:rPr>
      </w:pPr>
    </w:p>
    <w:p w14:paraId="75D3C404" w14:textId="77777777" w:rsidR="00AE7B4E" w:rsidRDefault="00000000" w:rsidP="00085C78">
      <w:pPr>
        <w:pStyle w:val="Heading2"/>
        <w:spacing w:before="240" w:after="120" w:line="276" w:lineRule="auto"/>
      </w:pPr>
      <w:r>
        <w:rPr>
          <w:u w:val="single"/>
        </w:rPr>
        <w:lastRenderedPageBreak/>
        <w:t>2.4 Database Two - MongoDB: The Safety Knowledge Layer</w:t>
      </w:r>
    </w:p>
    <w:p w14:paraId="5813D752" w14:textId="77777777" w:rsidR="00AE7B4E" w:rsidRDefault="00000000" w:rsidP="00085C78">
      <w:pPr>
        <w:spacing w:after="140" w:line="276" w:lineRule="auto"/>
        <w:jc w:val="both"/>
      </w:pPr>
      <w:r>
        <w:t>Why MongoDB here: drug interaction data comes from external medical sources and does not have a fixed shape. Some interactions have dosage thresholds, some do not. Some guidelines have five fields, some have twelve. Forcing this into rigid tables means constant schema migrations. A document model accommodates this variability without requiring schema changes.</w:t>
      </w:r>
    </w:p>
    <w:p w14:paraId="7C9FEC66" w14:textId="77777777" w:rsidR="007E0527" w:rsidRPr="007E0527" w:rsidRDefault="007E0527" w:rsidP="00085C78">
      <w:pPr>
        <w:spacing w:after="140" w:line="276" w:lineRule="auto"/>
        <w:jc w:val="both"/>
        <w:rPr>
          <w:sz w:val="6"/>
          <w:szCs w:val="6"/>
        </w:rPr>
      </w:pPr>
    </w:p>
    <w:p w14:paraId="0C384706" w14:textId="77777777" w:rsidR="00AE7B4E" w:rsidRDefault="00000000" w:rsidP="007E0527">
      <w:pPr>
        <w:pStyle w:val="ListParagraph"/>
        <w:numPr>
          <w:ilvl w:val="0"/>
          <w:numId w:val="6"/>
        </w:numPr>
        <w:spacing w:after="100" w:line="300" w:lineRule="auto"/>
        <w:jc w:val="both"/>
      </w:pPr>
      <w:r>
        <w:rPr>
          <w:b/>
          <w:bCs/>
        </w:rPr>
        <w:t xml:space="preserve">Schema flexibility. </w:t>
      </w:r>
      <w:r>
        <w:t>Each document in the drug_interactions collection can carry different fields depending on what is known about that pair of drugs, without altering a table definition.</w:t>
      </w:r>
    </w:p>
    <w:p w14:paraId="54FF79D6" w14:textId="77777777" w:rsidR="007E0527" w:rsidRPr="007E0527" w:rsidRDefault="007E0527" w:rsidP="007E0527">
      <w:pPr>
        <w:pStyle w:val="ListParagraph"/>
        <w:spacing w:after="100" w:line="300" w:lineRule="auto"/>
        <w:ind w:left="720"/>
        <w:jc w:val="both"/>
        <w:rPr>
          <w:sz w:val="6"/>
          <w:szCs w:val="6"/>
        </w:rPr>
      </w:pPr>
    </w:p>
    <w:p w14:paraId="660969AC" w14:textId="77777777" w:rsidR="00AE7B4E" w:rsidRDefault="00000000" w:rsidP="007E0527">
      <w:pPr>
        <w:pStyle w:val="ListParagraph"/>
        <w:numPr>
          <w:ilvl w:val="0"/>
          <w:numId w:val="6"/>
        </w:numPr>
        <w:spacing w:after="100" w:line="300" w:lineRule="auto"/>
        <w:jc w:val="both"/>
      </w:pPr>
      <w:r>
        <w:rPr>
          <w:b/>
          <w:bCs/>
        </w:rPr>
        <w:t xml:space="preserve">Document model versus relational. </w:t>
      </w:r>
      <w:r>
        <w:t xml:space="preserve">One interaction record </w:t>
      </w:r>
      <w:proofErr w:type="gramStart"/>
      <w:r>
        <w:t>maps</w:t>
      </w:r>
      <w:proofErr w:type="gramEnd"/>
      <w:r>
        <w:t xml:space="preserve"> to one real-world fact. There is no need to join across multiple tables just to answer “do these two drugs conflict?”</w:t>
      </w:r>
    </w:p>
    <w:p w14:paraId="53BF7B91" w14:textId="77777777" w:rsidR="007E0527" w:rsidRPr="007E0527" w:rsidRDefault="007E0527" w:rsidP="007E0527">
      <w:pPr>
        <w:pStyle w:val="ListParagraph"/>
        <w:rPr>
          <w:sz w:val="8"/>
          <w:szCs w:val="8"/>
        </w:rPr>
      </w:pPr>
    </w:p>
    <w:p w14:paraId="02D22AC5" w14:textId="77777777" w:rsidR="007E0527" w:rsidRPr="007E0527" w:rsidRDefault="007E0527" w:rsidP="007E0527">
      <w:pPr>
        <w:pStyle w:val="ListParagraph"/>
        <w:spacing w:after="100" w:line="300" w:lineRule="auto"/>
        <w:ind w:left="720"/>
        <w:jc w:val="both"/>
        <w:rPr>
          <w:sz w:val="2"/>
          <w:szCs w:val="2"/>
        </w:rPr>
      </w:pPr>
    </w:p>
    <w:p w14:paraId="1227EA0B" w14:textId="77777777" w:rsidR="00AE7B4E" w:rsidRDefault="00000000" w:rsidP="007E0527">
      <w:pPr>
        <w:pStyle w:val="ListParagraph"/>
        <w:numPr>
          <w:ilvl w:val="0"/>
          <w:numId w:val="6"/>
        </w:numPr>
        <w:spacing w:after="100" w:line="300" w:lineRule="auto"/>
        <w:jc w:val="both"/>
      </w:pPr>
      <w:r>
        <w:rPr>
          <w:b/>
          <w:bCs/>
        </w:rPr>
        <w:t xml:space="preserve">Indexing on drug pairs. </w:t>
      </w:r>
      <w:r>
        <w:t>A compound index on drug_a and drug_b keeps the interaction check fast, since this query runs on every single dispense.</w:t>
      </w:r>
    </w:p>
    <w:p w14:paraId="0CE6230E" w14:textId="77777777" w:rsidR="007E0527" w:rsidRPr="007E0527" w:rsidRDefault="007E0527" w:rsidP="007E0527">
      <w:pPr>
        <w:pStyle w:val="ListParagraph"/>
        <w:spacing w:after="100" w:line="300" w:lineRule="auto"/>
        <w:ind w:left="720"/>
        <w:jc w:val="both"/>
        <w:rPr>
          <w:sz w:val="14"/>
          <w:szCs w:val="14"/>
        </w:rPr>
      </w:pPr>
    </w:p>
    <w:p w14:paraId="204A5375" w14:textId="77777777" w:rsidR="00AE7B4E" w:rsidRDefault="00000000" w:rsidP="007E0527">
      <w:pPr>
        <w:pStyle w:val="ListParagraph"/>
        <w:numPr>
          <w:ilvl w:val="0"/>
          <w:numId w:val="6"/>
        </w:numPr>
        <w:spacing w:after="100" w:line="300" w:lineRule="auto"/>
        <w:jc w:val="both"/>
      </w:pPr>
      <w:r>
        <w:rPr>
          <w:b/>
          <w:bCs/>
        </w:rPr>
        <w:t xml:space="preserve">Read-heavy workload. </w:t>
      </w:r>
      <w:r>
        <w:t>The collection is updated only occasionally, as new interactions are published, but read on nearly every transaction. MongoDB handles that read pattern well.</w:t>
      </w:r>
    </w:p>
    <w:p w14:paraId="79718F84" w14:textId="77777777" w:rsidR="007E0527" w:rsidRDefault="007E0527" w:rsidP="007E0527">
      <w:pPr>
        <w:pStyle w:val="ListParagraph"/>
      </w:pPr>
    </w:p>
    <w:p w14:paraId="45D78E0E" w14:textId="77777777" w:rsidR="007E0527" w:rsidRPr="007E0527" w:rsidRDefault="007E0527" w:rsidP="007E0527">
      <w:pPr>
        <w:pStyle w:val="ListParagraph"/>
        <w:spacing w:after="100" w:line="300" w:lineRule="auto"/>
        <w:ind w:left="720"/>
        <w:jc w:val="both"/>
        <w:rPr>
          <w:sz w:val="2"/>
          <w:szCs w:val="2"/>
        </w:rPr>
      </w:pPr>
    </w:p>
    <w:p w14:paraId="5E707077" w14:textId="77777777" w:rsidR="00AE7B4E" w:rsidRDefault="00000000">
      <w:pPr>
        <w:pStyle w:val="Heading2"/>
        <w:spacing w:before="240" w:after="120"/>
        <w:rPr>
          <w:u w:val="single"/>
        </w:rPr>
      </w:pPr>
      <w:r>
        <w:rPr>
          <w:u w:val="single"/>
        </w:rPr>
        <w:t>2.4.1 Sample Interaction Document</w:t>
      </w:r>
    </w:p>
    <w:p w14:paraId="4D3DDF60" w14:textId="77777777" w:rsidR="007E0527" w:rsidRPr="007E0527" w:rsidRDefault="007E0527">
      <w:pPr>
        <w:pStyle w:val="Heading2"/>
        <w:spacing w:before="240" w:after="120"/>
        <w:rPr>
          <w:sz w:val="10"/>
          <w:szCs w:val="10"/>
        </w:rPr>
      </w:pPr>
    </w:p>
    <w:p w14:paraId="1A977194"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w:t>
      </w:r>
    </w:p>
    <w:p w14:paraId="3EED0745"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drug_a:         "Aspirin",</w:t>
      </w:r>
    </w:p>
    <w:p w14:paraId="263CA701"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drug_b:         "Warfarin",</w:t>
      </w:r>
    </w:p>
    <w:p w14:paraId="7FDF8908"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severity:       "high",</w:t>
      </w:r>
    </w:p>
    <w:p w14:paraId="3D98F689"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effect:         "Increased bleeding risk",</w:t>
      </w:r>
    </w:p>
    <w:p w14:paraId="3036BEB6"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 xml:space="preserve">    recommendation: "Avoid combination"</w:t>
      </w:r>
    </w:p>
    <w:p w14:paraId="3F3F16E5" w14:textId="77777777" w:rsidR="00AE7B4E" w:rsidRPr="007E0527" w:rsidRDefault="00000000">
      <w:pPr>
        <w:spacing w:line="260" w:lineRule="auto"/>
        <w:ind w:left="720"/>
        <w:rPr>
          <w:sz w:val="28"/>
          <w:szCs w:val="28"/>
        </w:rPr>
      </w:pPr>
      <w:r w:rsidRPr="007E0527">
        <w:rPr>
          <w:rFonts w:ascii="Courier New" w:eastAsia="Courier New" w:hAnsi="Courier New" w:cs="Courier New"/>
          <w:sz w:val="22"/>
          <w:szCs w:val="22"/>
        </w:rPr>
        <w:t>}</w:t>
      </w:r>
    </w:p>
    <w:p w14:paraId="725E33AB" w14:textId="35153429" w:rsidR="00AE7B4E" w:rsidRPr="007E0527" w:rsidRDefault="00AE7B4E">
      <w:pPr>
        <w:spacing w:after="200"/>
        <w:rPr>
          <w:sz w:val="28"/>
          <w:szCs w:val="28"/>
        </w:rPr>
      </w:pPr>
    </w:p>
    <w:p w14:paraId="22F11737" w14:textId="0B5EA8DD" w:rsidR="00AE7B4E" w:rsidRDefault="007E0527">
      <w:pPr>
        <w:spacing w:after="140" w:line="300" w:lineRule="auto"/>
        <w:jc w:val="both"/>
      </w:pPr>
      <w:r w:rsidRPr="00085C78">
        <w:lastRenderedPageBreak/>
        <w:drawing>
          <wp:anchor distT="0" distB="0" distL="114300" distR="114300" simplePos="0" relativeHeight="251661312" behindDoc="1" locked="0" layoutInCell="1" allowOverlap="1" wp14:anchorId="69D83281" wp14:editId="172EB0FC">
            <wp:simplePos x="0" y="0"/>
            <wp:positionH relativeFrom="margin">
              <wp:posOffset>-617855</wp:posOffset>
            </wp:positionH>
            <wp:positionV relativeFrom="paragraph">
              <wp:posOffset>617220</wp:posOffset>
            </wp:positionV>
            <wp:extent cx="6910705" cy="6353175"/>
            <wp:effectExtent l="0" t="0" r="4445" b="9525"/>
            <wp:wrapTight wrapText="bothSides">
              <wp:wrapPolygon edited="0">
                <wp:start x="0" y="0"/>
                <wp:lineTo x="0" y="21568"/>
                <wp:lineTo x="21554" y="21568"/>
                <wp:lineTo x="21554" y="0"/>
                <wp:lineTo x="0" y="0"/>
              </wp:wrapPolygon>
            </wp:wrapTight>
            <wp:docPr id="13973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05465" name=""/>
                    <pic:cNvPicPr/>
                  </pic:nvPicPr>
                  <pic:blipFill>
                    <a:blip r:embed="rId13">
                      <a:extLst>
                        <a:ext uri="{28A0092B-C50C-407E-A947-70E740481C1C}">
                          <a14:useLocalDpi xmlns:a14="http://schemas.microsoft.com/office/drawing/2010/main" val="0"/>
                        </a:ext>
                      </a:extLst>
                    </a:blip>
                    <a:stretch>
                      <a:fillRect/>
                    </a:stretch>
                  </pic:blipFill>
                  <pic:spPr>
                    <a:xfrm>
                      <a:off x="0" y="0"/>
                      <a:ext cx="6910705" cy="6353175"/>
                    </a:xfrm>
                    <a:prstGeom prst="rect">
                      <a:avLst/>
                    </a:prstGeom>
                  </pic:spPr>
                </pic:pic>
              </a:graphicData>
            </a:graphic>
            <wp14:sizeRelH relativeFrom="margin">
              <wp14:pctWidth>0</wp14:pctWidth>
            </wp14:sizeRelH>
            <wp14:sizeRelV relativeFrom="margin">
              <wp14:pctHeight>0</wp14:pctHeight>
            </wp14:sizeRelV>
          </wp:anchor>
        </w:drawing>
      </w:r>
      <w:r w:rsidR="00000000">
        <w:t>Figure 6 contrasts this document structure with the equivalent normalised relational representation, illustrating why the document model was preferred for this data.</w:t>
      </w:r>
    </w:p>
    <w:p w14:paraId="477F9B68" w14:textId="4BBF77AB" w:rsidR="00085C78" w:rsidRDefault="00085C78">
      <w:pPr>
        <w:spacing w:after="140" w:line="300" w:lineRule="auto"/>
        <w:jc w:val="both"/>
      </w:pPr>
    </w:p>
    <w:p w14:paraId="3904EE38" w14:textId="77777777" w:rsidR="00AE7B4E" w:rsidRDefault="00000000">
      <w:pPr>
        <w:spacing w:before="120" w:after="220" w:line="300" w:lineRule="auto"/>
        <w:jc w:val="center"/>
      </w:pPr>
      <w:r>
        <w:rPr>
          <w:b/>
          <w:bCs/>
          <w:sz w:val="22"/>
          <w:szCs w:val="22"/>
        </w:rPr>
        <w:t>Figure 6: Document model versus relational model for drug interaction data</w:t>
      </w:r>
    </w:p>
    <w:p w14:paraId="1F5CD758" w14:textId="77777777" w:rsidR="00085C78" w:rsidRDefault="00085C78">
      <w:pPr>
        <w:pStyle w:val="Heading2"/>
        <w:spacing w:before="240" w:after="120"/>
        <w:rPr>
          <w:u w:val="single"/>
        </w:rPr>
      </w:pPr>
    </w:p>
    <w:p w14:paraId="5E4D334B" w14:textId="77777777" w:rsidR="00085C78" w:rsidRDefault="00085C78">
      <w:pPr>
        <w:pStyle w:val="Heading2"/>
        <w:spacing w:before="240" w:after="120"/>
        <w:rPr>
          <w:u w:val="single"/>
        </w:rPr>
      </w:pPr>
    </w:p>
    <w:p w14:paraId="1F6BB109" w14:textId="77777777" w:rsidR="00085C78" w:rsidRDefault="00085C78">
      <w:pPr>
        <w:pStyle w:val="Heading2"/>
        <w:spacing w:before="240" w:after="120"/>
        <w:rPr>
          <w:u w:val="single"/>
        </w:rPr>
      </w:pPr>
    </w:p>
    <w:p w14:paraId="780C472C" w14:textId="77777777" w:rsidR="007E0527" w:rsidRDefault="007E0527">
      <w:pPr>
        <w:pStyle w:val="Heading2"/>
        <w:spacing w:before="240" w:after="120"/>
        <w:rPr>
          <w:u w:val="single"/>
        </w:rPr>
      </w:pPr>
    </w:p>
    <w:p w14:paraId="0D33A99F" w14:textId="1CE8860F" w:rsidR="00AE7B4E" w:rsidRDefault="00000000" w:rsidP="007E0527">
      <w:pPr>
        <w:pStyle w:val="Heading2"/>
        <w:spacing w:before="240" w:after="120" w:line="276" w:lineRule="auto"/>
      </w:pPr>
      <w:r>
        <w:rPr>
          <w:u w:val="single"/>
        </w:rPr>
        <w:lastRenderedPageBreak/>
        <w:t>2.5 Comparison of the Two Databases</w:t>
      </w:r>
    </w:p>
    <w:p w14:paraId="11FEF2FC" w14:textId="77777777" w:rsidR="00AE7B4E" w:rsidRDefault="00000000" w:rsidP="007E0527">
      <w:pPr>
        <w:spacing w:after="140" w:line="276" w:lineRule="auto"/>
        <w:jc w:val="both"/>
      </w:pPr>
      <w:r>
        <w:t>The two engines are placed side by side below, on the dimensions that motivated the choice.</w:t>
      </w:r>
    </w:p>
    <w:p w14:paraId="3369C063" w14:textId="77777777" w:rsidR="007E0527" w:rsidRPr="007E0527" w:rsidRDefault="007E0527" w:rsidP="007E0527">
      <w:pPr>
        <w:spacing w:after="140" w:line="276" w:lineRule="auto"/>
        <w:jc w:val="both"/>
        <w:rPr>
          <w:sz w:val="4"/>
          <w:szCs w:val="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63"/>
        <w:gridCol w:w="3563"/>
      </w:tblGrid>
      <w:tr w:rsidR="00AE7B4E" w14:paraId="152E4E95" w14:textId="77777777" w:rsidTr="007E0527">
        <w:trPr>
          <w:trHeight w:val="621"/>
          <w:tblHeader/>
        </w:trPr>
        <w:tc>
          <w:tcPr>
            <w:tcW w:w="1900" w:type="dxa"/>
            <w:shd w:val="clear" w:color="auto" w:fill="D9D9D9"/>
            <w:tcMar>
              <w:top w:w="80" w:type="dxa"/>
              <w:left w:w="120" w:type="dxa"/>
              <w:bottom w:w="80" w:type="dxa"/>
              <w:right w:w="120" w:type="dxa"/>
            </w:tcMar>
            <w:vAlign w:val="center"/>
          </w:tcPr>
          <w:p w14:paraId="7CBC6630" w14:textId="77777777" w:rsidR="00AE7B4E" w:rsidRPr="007E0527" w:rsidRDefault="00000000" w:rsidP="007E0527">
            <w:pPr>
              <w:spacing w:line="260" w:lineRule="auto"/>
              <w:jc w:val="center"/>
              <w:rPr>
                <w:sz w:val="28"/>
                <w:szCs w:val="28"/>
              </w:rPr>
            </w:pPr>
            <w:r w:rsidRPr="007E0527">
              <w:rPr>
                <w:b/>
                <w:bCs/>
                <w:sz w:val="28"/>
                <w:szCs w:val="28"/>
              </w:rPr>
              <w:t>Aspect</w:t>
            </w:r>
          </w:p>
        </w:tc>
        <w:tc>
          <w:tcPr>
            <w:tcW w:w="3563" w:type="dxa"/>
            <w:shd w:val="clear" w:color="auto" w:fill="D9D9D9"/>
            <w:tcMar>
              <w:top w:w="80" w:type="dxa"/>
              <w:left w:w="120" w:type="dxa"/>
              <w:bottom w:w="80" w:type="dxa"/>
              <w:right w:w="120" w:type="dxa"/>
            </w:tcMar>
            <w:vAlign w:val="center"/>
          </w:tcPr>
          <w:p w14:paraId="62A94BED" w14:textId="77777777" w:rsidR="00AE7B4E" w:rsidRPr="007E0527" w:rsidRDefault="00000000" w:rsidP="007E0527">
            <w:pPr>
              <w:spacing w:line="260" w:lineRule="auto"/>
              <w:jc w:val="center"/>
              <w:rPr>
                <w:sz w:val="28"/>
                <w:szCs w:val="28"/>
              </w:rPr>
            </w:pPr>
            <w:r w:rsidRPr="007E0527">
              <w:rPr>
                <w:b/>
                <w:bCs/>
                <w:sz w:val="28"/>
                <w:szCs w:val="28"/>
              </w:rPr>
              <w:t>PostgreSQL</w:t>
            </w:r>
          </w:p>
        </w:tc>
        <w:tc>
          <w:tcPr>
            <w:tcW w:w="3563" w:type="dxa"/>
            <w:shd w:val="clear" w:color="auto" w:fill="D9D9D9"/>
            <w:tcMar>
              <w:top w:w="80" w:type="dxa"/>
              <w:left w:w="120" w:type="dxa"/>
              <w:bottom w:w="80" w:type="dxa"/>
              <w:right w:w="120" w:type="dxa"/>
            </w:tcMar>
            <w:vAlign w:val="center"/>
          </w:tcPr>
          <w:p w14:paraId="13D2B31E" w14:textId="77777777" w:rsidR="00AE7B4E" w:rsidRPr="007E0527" w:rsidRDefault="00000000" w:rsidP="007E0527">
            <w:pPr>
              <w:spacing w:line="260" w:lineRule="auto"/>
              <w:jc w:val="center"/>
              <w:rPr>
                <w:sz w:val="28"/>
                <w:szCs w:val="28"/>
              </w:rPr>
            </w:pPr>
            <w:r w:rsidRPr="007E0527">
              <w:rPr>
                <w:b/>
                <w:bCs/>
                <w:sz w:val="28"/>
                <w:szCs w:val="28"/>
              </w:rPr>
              <w:t>MongoDB</w:t>
            </w:r>
          </w:p>
        </w:tc>
      </w:tr>
      <w:tr w:rsidR="00AE7B4E" w14:paraId="33F4DB80" w14:textId="77777777">
        <w:tc>
          <w:tcPr>
            <w:tcW w:w="1900" w:type="dxa"/>
            <w:tcMar>
              <w:top w:w="80" w:type="dxa"/>
              <w:left w:w="120" w:type="dxa"/>
              <w:bottom w:w="80" w:type="dxa"/>
              <w:right w:w="120" w:type="dxa"/>
            </w:tcMar>
          </w:tcPr>
          <w:p w14:paraId="2C8964F3" w14:textId="77777777" w:rsidR="00AE7B4E" w:rsidRDefault="00000000">
            <w:pPr>
              <w:spacing w:line="260" w:lineRule="auto"/>
            </w:pPr>
            <w:r>
              <w:rPr>
                <w:b/>
                <w:bCs/>
              </w:rPr>
              <w:t>Data shape</w:t>
            </w:r>
          </w:p>
        </w:tc>
        <w:tc>
          <w:tcPr>
            <w:tcW w:w="3563" w:type="dxa"/>
            <w:tcMar>
              <w:top w:w="80" w:type="dxa"/>
              <w:left w:w="120" w:type="dxa"/>
              <w:bottom w:w="80" w:type="dxa"/>
              <w:right w:w="120" w:type="dxa"/>
            </w:tcMar>
          </w:tcPr>
          <w:p w14:paraId="2DF2884F" w14:textId="77777777" w:rsidR="00AE7B4E" w:rsidRDefault="00000000">
            <w:pPr>
              <w:spacing w:line="260" w:lineRule="auto"/>
            </w:pPr>
            <w:r>
              <w:t>Rigid, relational, strongly typed</w:t>
            </w:r>
          </w:p>
        </w:tc>
        <w:tc>
          <w:tcPr>
            <w:tcW w:w="3563" w:type="dxa"/>
            <w:tcMar>
              <w:top w:w="80" w:type="dxa"/>
              <w:left w:w="120" w:type="dxa"/>
              <w:bottom w:w="80" w:type="dxa"/>
              <w:right w:w="120" w:type="dxa"/>
            </w:tcMar>
          </w:tcPr>
          <w:p w14:paraId="4C6403DC" w14:textId="77777777" w:rsidR="00AE7B4E" w:rsidRDefault="00000000">
            <w:pPr>
              <w:spacing w:line="260" w:lineRule="auto"/>
            </w:pPr>
            <w:r>
              <w:t>Flexible, document-oriented (BSON)</w:t>
            </w:r>
          </w:p>
        </w:tc>
      </w:tr>
      <w:tr w:rsidR="00AE7B4E" w14:paraId="4197E296" w14:textId="77777777">
        <w:tc>
          <w:tcPr>
            <w:tcW w:w="1900" w:type="dxa"/>
            <w:tcMar>
              <w:top w:w="80" w:type="dxa"/>
              <w:left w:w="120" w:type="dxa"/>
              <w:bottom w:w="80" w:type="dxa"/>
              <w:right w:w="120" w:type="dxa"/>
            </w:tcMar>
          </w:tcPr>
          <w:p w14:paraId="53958967" w14:textId="77777777" w:rsidR="00AE7B4E" w:rsidRDefault="00000000">
            <w:pPr>
              <w:spacing w:line="260" w:lineRule="auto"/>
            </w:pPr>
            <w:r>
              <w:rPr>
                <w:b/>
                <w:bCs/>
              </w:rPr>
              <w:t>Optimised for</w:t>
            </w:r>
          </w:p>
        </w:tc>
        <w:tc>
          <w:tcPr>
            <w:tcW w:w="3563" w:type="dxa"/>
            <w:tcMar>
              <w:top w:w="80" w:type="dxa"/>
              <w:left w:w="120" w:type="dxa"/>
              <w:bottom w:w="80" w:type="dxa"/>
              <w:right w:w="120" w:type="dxa"/>
            </w:tcMar>
          </w:tcPr>
          <w:p w14:paraId="2AC50E55" w14:textId="77777777" w:rsidR="00AE7B4E" w:rsidRDefault="00000000">
            <w:pPr>
              <w:spacing w:line="260" w:lineRule="auto"/>
            </w:pPr>
            <w:r>
              <w:t>Consistency, transactions, locking, referential integrity</w:t>
            </w:r>
          </w:p>
        </w:tc>
        <w:tc>
          <w:tcPr>
            <w:tcW w:w="3563" w:type="dxa"/>
            <w:tcMar>
              <w:top w:w="80" w:type="dxa"/>
              <w:left w:w="120" w:type="dxa"/>
              <w:bottom w:w="80" w:type="dxa"/>
              <w:right w:w="120" w:type="dxa"/>
            </w:tcMar>
          </w:tcPr>
          <w:p w14:paraId="64C3AB84" w14:textId="77777777" w:rsidR="00AE7B4E" w:rsidRDefault="00000000">
            <w:pPr>
              <w:spacing w:line="260" w:lineRule="auto"/>
            </w:pPr>
            <w:r>
              <w:t>Read-heavy access, schema-variable data, fast lookups</w:t>
            </w:r>
          </w:p>
        </w:tc>
      </w:tr>
      <w:tr w:rsidR="00AE7B4E" w14:paraId="7005CCEB" w14:textId="77777777">
        <w:tc>
          <w:tcPr>
            <w:tcW w:w="1900" w:type="dxa"/>
            <w:tcMar>
              <w:top w:w="80" w:type="dxa"/>
              <w:left w:w="120" w:type="dxa"/>
              <w:bottom w:w="80" w:type="dxa"/>
              <w:right w:w="120" w:type="dxa"/>
            </w:tcMar>
          </w:tcPr>
          <w:p w14:paraId="7ADC6317" w14:textId="77777777" w:rsidR="00AE7B4E" w:rsidRDefault="00000000">
            <w:pPr>
              <w:spacing w:line="260" w:lineRule="auto"/>
            </w:pPr>
            <w:r>
              <w:rPr>
                <w:b/>
                <w:bCs/>
              </w:rPr>
              <w:t>CAP leaning</w:t>
            </w:r>
          </w:p>
        </w:tc>
        <w:tc>
          <w:tcPr>
            <w:tcW w:w="3563" w:type="dxa"/>
            <w:tcMar>
              <w:top w:w="80" w:type="dxa"/>
              <w:left w:w="120" w:type="dxa"/>
              <w:bottom w:w="80" w:type="dxa"/>
              <w:right w:w="120" w:type="dxa"/>
            </w:tcMar>
          </w:tcPr>
          <w:p w14:paraId="73D257F2" w14:textId="77777777" w:rsidR="00AE7B4E" w:rsidRDefault="00000000">
            <w:pPr>
              <w:spacing w:line="260" w:lineRule="auto"/>
            </w:pPr>
            <w:r>
              <w:t>Consistency first</w:t>
            </w:r>
          </w:p>
        </w:tc>
        <w:tc>
          <w:tcPr>
            <w:tcW w:w="3563" w:type="dxa"/>
            <w:tcMar>
              <w:top w:w="80" w:type="dxa"/>
              <w:left w:w="120" w:type="dxa"/>
              <w:bottom w:w="80" w:type="dxa"/>
              <w:right w:w="120" w:type="dxa"/>
            </w:tcMar>
          </w:tcPr>
          <w:p w14:paraId="6784E303" w14:textId="77777777" w:rsidR="00AE7B4E" w:rsidRDefault="00000000">
            <w:pPr>
              <w:spacing w:line="260" w:lineRule="auto"/>
            </w:pPr>
            <w:r>
              <w:t>Consistency with tunable read preference; availability-friendly</w:t>
            </w:r>
          </w:p>
        </w:tc>
      </w:tr>
      <w:tr w:rsidR="00AE7B4E" w14:paraId="238FCE11" w14:textId="77777777">
        <w:tc>
          <w:tcPr>
            <w:tcW w:w="1900" w:type="dxa"/>
            <w:tcMar>
              <w:top w:w="80" w:type="dxa"/>
              <w:left w:w="120" w:type="dxa"/>
              <w:bottom w:w="80" w:type="dxa"/>
              <w:right w:w="120" w:type="dxa"/>
            </w:tcMar>
          </w:tcPr>
          <w:p w14:paraId="2993439E" w14:textId="77777777" w:rsidR="00AE7B4E" w:rsidRDefault="00000000">
            <w:pPr>
              <w:spacing w:line="260" w:lineRule="auto"/>
            </w:pPr>
            <w:r>
              <w:rPr>
                <w:b/>
                <w:bCs/>
              </w:rPr>
              <w:t>Used for</w:t>
            </w:r>
          </w:p>
        </w:tc>
        <w:tc>
          <w:tcPr>
            <w:tcW w:w="3563" w:type="dxa"/>
            <w:tcMar>
              <w:top w:w="80" w:type="dxa"/>
              <w:left w:w="120" w:type="dxa"/>
              <w:bottom w:w="80" w:type="dxa"/>
              <w:right w:w="120" w:type="dxa"/>
            </w:tcMar>
          </w:tcPr>
          <w:p w14:paraId="1195BBC6" w14:textId="77777777" w:rsidR="00AE7B4E" w:rsidRDefault="00000000">
            <w:pPr>
              <w:spacing w:line="260" w:lineRule="auto"/>
            </w:pPr>
            <w:r>
              <w:t>Medicines, batches, prescriptions, stock updates and the dispensing audit log</w:t>
            </w:r>
          </w:p>
        </w:tc>
        <w:tc>
          <w:tcPr>
            <w:tcW w:w="3563" w:type="dxa"/>
            <w:tcMar>
              <w:top w:w="80" w:type="dxa"/>
              <w:left w:w="120" w:type="dxa"/>
              <w:bottom w:w="80" w:type="dxa"/>
              <w:right w:w="120" w:type="dxa"/>
            </w:tcMar>
          </w:tcPr>
          <w:p w14:paraId="38515753" w14:textId="77777777" w:rsidR="00AE7B4E" w:rsidRDefault="00000000">
            <w:pPr>
              <w:spacing w:line="260" w:lineRule="auto"/>
            </w:pPr>
            <w:r>
              <w:t>Drug interactions and clinical guidelines</w:t>
            </w:r>
          </w:p>
        </w:tc>
      </w:tr>
      <w:tr w:rsidR="00AE7B4E" w14:paraId="106F054E" w14:textId="77777777">
        <w:tc>
          <w:tcPr>
            <w:tcW w:w="1900" w:type="dxa"/>
            <w:tcMar>
              <w:top w:w="80" w:type="dxa"/>
              <w:left w:w="120" w:type="dxa"/>
              <w:bottom w:w="80" w:type="dxa"/>
              <w:right w:w="120" w:type="dxa"/>
            </w:tcMar>
          </w:tcPr>
          <w:p w14:paraId="5EE11D84" w14:textId="77777777" w:rsidR="00AE7B4E" w:rsidRDefault="00000000">
            <w:pPr>
              <w:spacing w:line="260" w:lineRule="auto"/>
            </w:pPr>
            <w:r>
              <w:rPr>
                <w:b/>
                <w:bCs/>
              </w:rPr>
              <w:t>Write pattern</w:t>
            </w:r>
          </w:p>
        </w:tc>
        <w:tc>
          <w:tcPr>
            <w:tcW w:w="3563" w:type="dxa"/>
            <w:tcMar>
              <w:top w:w="80" w:type="dxa"/>
              <w:left w:w="120" w:type="dxa"/>
              <w:bottom w:w="80" w:type="dxa"/>
              <w:right w:w="120" w:type="dxa"/>
            </w:tcMar>
          </w:tcPr>
          <w:p w14:paraId="7D364BC2" w14:textId="77777777" w:rsidR="00AE7B4E" w:rsidRDefault="00000000">
            <w:pPr>
              <w:spacing w:line="260" w:lineRule="auto"/>
            </w:pPr>
            <w:r>
              <w:t>Transactional writes inside ACID boundaries, plus append-only audit rows</w:t>
            </w:r>
          </w:p>
        </w:tc>
        <w:tc>
          <w:tcPr>
            <w:tcW w:w="3563" w:type="dxa"/>
            <w:tcMar>
              <w:top w:w="80" w:type="dxa"/>
              <w:left w:w="120" w:type="dxa"/>
              <w:bottom w:w="80" w:type="dxa"/>
              <w:right w:w="120" w:type="dxa"/>
            </w:tcMar>
          </w:tcPr>
          <w:p w14:paraId="27054684" w14:textId="77777777" w:rsidR="00AE7B4E" w:rsidRDefault="00000000">
            <w:pPr>
              <w:spacing w:line="260" w:lineRule="auto"/>
            </w:pPr>
            <w:r>
              <w:t>Occasional writes when new interaction data is published</w:t>
            </w:r>
          </w:p>
        </w:tc>
      </w:tr>
      <w:tr w:rsidR="00AE7B4E" w14:paraId="014518C6" w14:textId="77777777">
        <w:tc>
          <w:tcPr>
            <w:tcW w:w="1900" w:type="dxa"/>
            <w:tcMar>
              <w:top w:w="80" w:type="dxa"/>
              <w:left w:w="120" w:type="dxa"/>
              <w:bottom w:w="80" w:type="dxa"/>
              <w:right w:w="120" w:type="dxa"/>
            </w:tcMar>
          </w:tcPr>
          <w:p w14:paraId="0E2B4287" w14:textId="77777777" w:rsidR="00AE7B4E" w:rsidRDefault="00000000">
            <w:pPr>
              <w:spacing w:line="260" w:lineRule="auto"/>
            </w:pPr>
            <w:r>
              <w:rPr>
                <w:b/>
                <w:bCs/>
              </w:rPr>
              <w:t>Read pattern</w:t>
            </w:r>
          </w:p>
        </w:tc>
        <w:tc>
          <w:tcPr>
            <w:tcW w:w="3563" w:type="dxa"/>
            <w:tcMar>
              <w:top w:w="80" w:type="dxa"/>
              <w:left w:w="120" w:type="dxa"/>
              <w:bottom w:w="80" w:type="dxa"/>
              <w:right w:w="120" w:type="dxa"/>
            </w:tcMar>
          </w:tcPr>
          <w:p w14:paraId="2CA3E992" w14:textId="77777777" w:rsidR="00AE7B4E" w:rsidRDefault="00000000">
            <w:pPr>
              <w:spacing w:line="260" w:lineRule="auto"/>
            </w:pPr>
            <w:r>
              <w:t>Point lookups and indexed range scans (FEFO, recent history per medicine)</w:t>
            </w:r>
          </w:p>
        </w:tc>
        <w:tc>
          <w:tcPr>
            <w:tcW w:w="3563" w:type="dxa"/>
            <w:tcMar>
              <w:top w:w="80" w:type="dxa"/>
              <w:left w:w="120" w:type="dxa"/>
              <w:bottom w:w="80" w:type="dxa"/>
              <w:right w:w="120" w:type="dxa"/>
            </w:tcMar>
          </w:tcPr>
          <w:p w14:paraId="2744462E" w14:textId="77777777" w:rsidR="00AE7B4E" w:rsidRDefault="00000000">
            <w:pPr>
              <w:spacing w:line="260" w:lineRule="auto"/>
            </w:pPr>
            <w:r>
              <w:t>Compound-index lookups on drug pairs, run on nearly every dispense</w:t>
            </w:r>
          </w:p>
        </w:tc>
      </w:tr>
    </w:tbl>
    <w:p w14:paraId="136FB5C2" w14:textId="35138436" w:rsidR="00AE7B4E" w:rsidRDefault="00AE7B4E" w:rsidP="00710B17">
      <w:pPr>
        <w:pStyle w:val="Heading2"/>
        <w:spacing w:before="240" w:after="120"/>
      </w:pPr>
    </w:p>
    <w:sectPr w:rsidR="00AE7B4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3D65F" w14:textId="77777777" w:rsidR="00DE2A66" w:rsidRDefault="00DE2A66" w:rsidP="00AD3188">
      <w:r>
        <w:separator/>
      </w:r>
    </w:p>
  </w:endnote>
  <w:endnote w:type="continuationSeparator" w:id="0">
    <w:p w14:paraId="451B08CC" w14:textId="77777777" w:rsidR="00DE2A66" w:rsidRDefault="00DE2A66" w:rsidP="00AD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D917E" w14:textId="77777777" w:rsidR="00DE2A66" w:rsidRDefault="00DE2A66" w:rsidP="00AD3188">
      <w:r>
        <w:separator/>
      </w:r>
    </w:p>
  </w:footnote>
  <w:footnote w:type="continuationSeparator" w:id="0">
    <w:p w14:paraId="151E5BCC" w14:textId="77777777" w:rsidR="00DE2A66" w:rsidRDefault="00DE2A66" w:rsidP="00AD31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5358"/>
    <w:multiLevelType w:val="hybridMultilevel"/>
    <w:tmpl w:val="DA766868"/>
    <w:lvl w:ilvl="0" w:tplc="F32C7A52">
      <w:start w:val="1"/>
      <w:numFmt w:val="bullet"/>
      <w:lvlText w:val="●"/>
      <w:lvlJc w:val="left"/>
      <w:pPr>
        <w:ind w:left="720" w:hanging="360"/>
      </w:pPr>
    </w:lvl>
    <w:lvl w:ilvl="1" w:tplc="14AEC9CE">
      <w:start w:val="1"/>
      <w:numFmt w:val="bullet"/>
      <w:lvlText w:val="○"/>
      <w:lvlJc w:val="left"/>
      <w:pPr>
        <w:ind w:left="1440" w:hanging="360"/>
      </w:pPr>
    </w:lvl>
    <w:lvl w:ilvl="2" w:tplc="9DBCAFC4">
      <w:start w:val="1"/>
      <w:numFmt w:val="bullet"/>
      <w:lvlText w:val="■"/>
      <w:lvlJc w:val="left"/>
      <w:pPr>
        <w:ind w:left="2160" w:hanging="360"/>
      </w:pPr>
    </w:lvl>
    <w:lvl w:ilvl="3" w:tplc="8ACC1742">
      <w:start w:val="1"/>
      <w:numFmt w:val="bullet"/>
      <w:lvlText w:val="●"/>
      <w:lvlJc w:val="left"/>
      <w:pPr>
        <w:ind w:left="2880" w:hanging="360"/>
      </w:pPr>
    </w:lvl>
    <w:lvl w:ilvl="4" w:tplc="99A2515C">
      <w:start w:val="1"/>
      <w:numFmt w:val="bullet"/>
      <w:lvlText w:val="○"/>
      <w:lvlJc w:val="left"/>
      <w:pPr>
        <w:ind w:left="3600" w:hanging="360"/>
      </w:pPr>
    </w:lvl>
    <w:lvl w:ilvl="5" w:tplc="93362326">
      <w:start w:val="1"/>
      <w:numFmt w:val="bullet"/>
      <w:lvlText w:val="■"/>
      <w:lvlJc w:val="left"/>
      <w:pPr>
        <w:ind w:left="4320" w:hanging="360"/>
      </w:pPr>
    </w:lvl>
    <w:lvl w:ilvl="6" w:tplc="EB9A2164">
      <w:start w:val="1"/>
      <w:numFmt w:val="bullet"/>
      <w:lvlText w:val="●"/>
      <w:lvlJc w:val="left"/>
      <w:pPr>
        <w:ind w:left="5040" w:hanging="360"/>
      </w:pPr>
    </w:lvl>
    <w:lvl w:ilvl="7" w:tplc="5A5CEE24">
      <w:start w:val="1"/>
      <w:numFmt w:val="bullet"/>
      <w:lvlText w:val="●"/>
      <w:lvlJc w:val="left"/>
      <w:pPr>
        <w:ind w:left="5760" w:hanging="360"/>
      </w:pPr>
    </w:lvl>
    <w:lvl w:ilvl="8" w:tplc="7CF437AE">
      <w:start w:val="1"/>
      <w:numFmt w:val="bullet"/>
      <w:lvlText w:val="●"/>
      <w:lvlJc w:val="left"/>
      <w:pPr>
        <w:ind w:left="6480" w:hanging="360"/>
      </w:pPr>
    </w:lvl>
  </w:abstractNum>
  <w:abstractNum w:abstractNumId="1" w15:restartNumberingAfterBreak="0">
    <w:nsid w:val="11870E92"/>
    <w:multiLevelType w:val="hybridMultilevel"/>
    <w:tmpl w:val="7096CD82"/>
    <w:lvl w:ilvl="0" w:tplc="7B26DF52">
      <w:start w:val="1"/>
      <w:numFmt w:val="decimal"/>
      <w:lvlText w:val="%1."/>
      <w:lvlJc w:val="left"/>
      <w:pPr>
        <w:ind w:left="720" w:hanging="360"/>
      </w:pPr>
    </w:lvl>
    <w:lvl w:ilvl="1" w:tplc="F124B890">
      <w:numFmt w:val="decimal"/>
      <w:lvlText w:val=""/>
      <w:lvlJc w:val="left"/>
    </w:lvl>
    <w:lvl w:ilvl="2" w:tplc="DB865CE2">
      <w:numFmt w:val="decimal"/>
      <w:lvlText w:val=""/>
      <w:lvlJc w:val="left"/>
    </w:lvl>
    <w:lvl w:ilvl="3" w:tplc="B122F84C">
      <w:numFmt w:val="decimal"/>
      <w:lvlText w:val=""/>
      <w:lvlJc w:val="left"/>
    </w:lvl>
    <w:lvl w:ilvl="4" w:tplc="074C2B2C">
      <w:numFmt w:val="decimal"/>
      <w:lvlText w:val=""/>
      <w:lvlJc w:val="left"/>
    </w:lvl>
    <w:lvl w:ilvl="5" w:tplc="8EC487E6">
      <w:numFmt w:val="decimal"/>
      <w:lvlText w:val=""/>
      <w:lvlJc w:val="left"/>
    </w:lvl>
    <w:lvl w:ilvl="6" w:tplc="100AB7A4">
      <w:numFmt w:val="decimal"/>
      <w:lvlText w:val=""/>
      <w:lvlJc w:val="left"/>
    </w:lvl>
    <w:lvl w:ilvl="7" w:tplc="ACD26C86">
      <w:numFmt w:val="decimal"/>
      <w:lvlText w:val=""/>
      <w:lvlJc w:val="left"/>
    </w:lvl>
    <w:lvl w:ilvl="8" w:tplc="ABCC458E">
      <w:numFmt w:val="decimal"/>
      <w:lvlText w:val=""/>
      <w:lvlJc w:val="left"/>
    </w:lvl>
  </w:abstractNum>
  <w:abstractNum w:abstractNumId="2" w15:restartNumberingAfterBreak="0">
    <w:nsid w:val="17ED1EC6"/>
    <w:multiLevelType w:val="hybridMultilevel"/>
    <w:tmpl w:val="2466CD84"/>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26B5720"/>
    <w:multiLevelType w:val="hybridMultilevel"/>
    <w:tmpl w:val="CF822E6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687B1047"/>
    <w:multiLevelType w:val="hybridMultilevel"/>
    <w:tmpl w:val="5210A142"/>
    <w:lvl w:ilvl="0" w:tplc="E9F27280">
      <w:start w:val="1"/>
      <w:numFmt w:val="bullet"/>
      <w:lvlText w:val="•"/>
      <w:lvlJc w:val="left"/>
      <w:pPr>
        <w:ind w:left="720" w:hanging="360"/>
      </w:pPr>
    </w:lvl>
    <w:lvl w:ilvl="1" w:tplc="066A4FF0">
      <w:numFmt w:val="decimal"/>
      <w:lvlText w:val=""/>
      <w:lvlJc w:val="left"/>
    </w:lvl>
    <w:lvl w:ilvl="2" w:tplc="37EE0F92">
      <w:numFmt w:val="decimal"/>
      <w:lvlText w:val=""/>
      <w:lvlJc w:val="left"/>
    </w:lvl>
    <w:lvl w:ilvl="3" w:tplc="A27AC118">
      <w:numFmt w:val="decimal"/>
      <w:lvlText w:val=""/>
      <w:lvlJc w:val="left"/>
    </w:lvl>
    <w:lvl w:ilvl="4" w:tplc="6AFE0ADE">
      <w:numFmt w:val="decimal"/>
      <w:lvlText w:val=""/>
      <w:lvlJc w:val="left"/>
    </w:lvl>
    <w:lvl w:ilvl="5" w:tplc="68B8C73C">
      <w:numFmt w:val="decimal"/>
      <w:lvlText w:val=""/>
      <w:lvlJc w:val="left"/>
    </w:lvl>
    <w:lvl w:ilvl="6" w:tplc="DA0A3DBE">
      <w:numFmt w:val="decimal"/>
      <w:lvlText w:val=""/>
      <w:lvlJc w:val="left"/>
    </w:lvl>
    <w:lvl w:ilvl="7" w:tplc="F2544008">
      <w:numFmt w:val="decimal"/>
      <w:lvlText w:val=""/>
      <w:lvlJc w:val="left"/>
    </w:lvl>
    <w:lvl w:ilvl="8" w:tplc="BEBEFF52">
      <w:numFmt w:val="decimal"/>
      <w:lvlText w:val=""/>
      <w:lvlJc w:val="left"/>
    </w:lvl>
  </w:abstractNum>
  <w:num w:numId="1" w16cid:durableId="1323316069">
    <w:abstractNumId w:val="0"/>
    <w:lvlOverride w:ilvl="0">
      <w:startOverride w:val="1"/>
    </w:lvlOverride>
  </w:num>
  <w:num w:numId="2" w16cid:durableId="686298599">
    <w:abstractNumId w:val="4"/>
    <w:lvlOverride w:ilvl="0">
      <w:startOverride w:val="1"/>
    </w:lvlOverride>
  </w:num>
  <w:num w:numId="3" w16cid:durableId="2076009315">
    <w:abstractNumId w:val="1"/>
    <w:lvlOverride w:ilvl="0">
      <w:startOverride w:val="1"/>
    </w:lvlOverride>
  </w:num>
  <w:num w:numId="4" w16cid:durableId="64837054">
    <w:abstractNumId w:val="4"/>
  </w:num>
  <w:num w:numId="5" w16cid:durableId="1013533019">
    <w:abstractNumId w:val="3"/>
  </w:num>
  <w:num w:numId="6" w16cid:durableId="12025509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B4E"/>
    <w:rsid w:val="00085C78"/>
    <w:rsid w:val="004A5F7E"/>
    <w:rsid w:val="004E6FBE"/>
    <w:rsid w:val="005B0DB1"/>
    <w:rsid w:val="00710B17"/>
    <w:rsid w:val="007E0527"/>
    <w:rsid w:val="0096602A"/>
    <w:rsid w:val="00AD3188"/>
    <w:rsid w:val="00AE7B4E"/>
    <w:rsid w:val="00D00106"/>
    <w:rsid w:val="00DE2A66"/>
    <w:rsid w:val="00EB06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58440"/>
  <w15:docId w15:val="{016393BD-F0D0-470B-AC25-18E14CBCF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FBE"/>
  </w:style>
  <w:style w:type="paragraph" w:styleId="Heading1">
    <w:name w:val="heading 1"/>
    <w:uiPriority w:val="9"/>
    <w:qFormat/>
    <w:pPr>
      <w:outlineLvl w:val="0"/>
    </w:pPr>
    <w:rPr>
      <w:b/>
      <w:bCs/>
      <w:color w:val="000000"/>
    </w:rPr>
  </w:style>
  <w:style w:type="paragraph" w:styleId="Heading2">
    <w:name w:val="heading 2"/>
    <w:uiPriority w:val="9"/>
    <w:unhideWhenUsed/>
    <w:qFormat/>
    <w:pPr>
      <w:outlineLvl w:val="1"/>
    </w:pPr>
    <w:rPr>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D3188"/>
    <w:pPr>
      <w:tabs>
        <w:tab w:val="center" w:pos="4513"/>
        <w:tab w:val="right" w:pos="9026"/>
      </w:tabs>
    </w:pPr>
  </w:style>
  <w:style w:type="character" w:customStyle="1" w:styleId="HeaderChar">
    <w:name w:val="Header Char"/>
    <w:basedOn w:val="DefaultParagraphFont"/>
    <w:link w:val="Header"/>
    <w:uiPriority w:val="99"/>
    <w:rsid w:val="00AD3188"/>
  </w:style>
  <w:style w:type="paragraph" w:styleId="Footer">
    <w:name w:val="footer"/>
    <w:basedOn w:val="Normal"/>
    <w:link w:val="FooterChar"/>
    <w:uiPriority w:val="99"/>
    <w:unhideWhenUsed/>
    <w:rsid w:val="00AD3188"/>
    <w:pPr>
      <w:tabs>
        <w:tab w:val="center" w:pos="4513"/>
        <w:tab w:val="right" w:pos="9026"/>
      </w:tabs>
    </w:pPr>
  </w:style>
  <w:style w:type="character" w:customStyle="1" w:styleId="FooterChar">
    <w:name w:val="Footer Char"/>
    <w:basedOn w:val="DefaultParagraphFont"/>
    <w:link w:val="Footer"/>
    <w:uiPriority w:val="99"/>
    <w:rsid w:val="00AD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13</Pages>
  <Words>1664</Words>
  <Characters>9487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Abhirup Banik</cp:lastModifiedBy>
  <cp:revision>3</cp:revision>
  <dcterms:created xsi:type="dcterms:W3CDTF">2026-08-23T11:13:00Z</dcterms:created>
  <dcterms:modified xsi:type="dcterms:W3CDTF">2026-08-23T13:38:00Z</dcterms:modified>
</cp:coreProperties>
</file>