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Master Index and Advanced Build Prompt</w:t>
      </w:r>
    </w:p>
    <w:p>
      <w:pPr>
        <w:jc w:val="center"/>
      </w:pPr>
      <w:r>
        <w:rPr>
          <w:i/>
          <w:color w:val="505050"/>
          <w:sz w:val="22"/>
        </w:rPr>
        <w:t>A consolidated instruction pack to turn PEB into an Indian MSME finance operating system.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Purpose</w:t>
      </w:r>
    </w:p>
    <w:p>
      <w:r>
        <w:rPr>
          <w:b w:val="0"/>
          <w:i w:val="0"/>
        </w:rPr>
        <w:t>This master document explains the full documentation pack and provides a single prompt that can be used with product, design, architecture, and coding agents.</w:t>
      </w:r>
    </w:p>
    <w:p>
      <w:pPr>
        <w:pStyle w:val="Heading1"/>
      </w:pPr>
      <w:r>
        <w:t>Pack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 Strategy and Capability Blueprint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vision, positioning, personas, monetization, and success metrics.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 Requirements Document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PRD covering goals, scope, personas, modules, journeys, KPIs, and release boundaries.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Functional Requirements Document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FRD with detailed functional requirements, acceptance criteria, edge cases, and priorities.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Technical Requirements Document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TRD for Java microservices, infrastructure, integrations, observability, and NFRs.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Microservices Architecture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 decomposition, boundaries, ownership, communication style, and deployment model.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Security Privacy and Compliance Blueprint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Threat model, fintech-grade security controls, Indian compliance map, audit controls.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 API and Event Blueprint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Core database model, APIs, Kafka events, idempotency, and reconciliation data flows.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UI UX and Screen Flow Specification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and web screen inventory, design system, navigation, and accessibility guidance.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Automation and Algorithms Blueprint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Classification, reconciliation, anomaly detection, OCR, reminders, cashflow, and compliance intelligence.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Roadmap QA and Launch Plan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plan, QA strategy, UAT, launch controls, team roles, and Definition of Done.</w:t>
            </w:r>
          </w:p>
        </w:tc>
      </w:tr>
    </w:tbl>
    <w:p/>
    <w:p>
      <w:pPr>
        <w:pStyle w:val="Heading1"/>
      </w:pPr>
      <w:r>
        <w:t>Best Master Prompt</w:t>
      </w:r>
    </w:p>
    <w:p>
      <w:r>
        <w:rPr>
          <w:rFonts w:ascii="Courier New" w:hAnsi="Courier New"/>
          <w:sz w:val="17"/>
        </w:rPr>
        <w:t>Act as a FinTech Product Architect, Indian MSME Compliance Expert, Java Microservices Architect, Security Architect, Chartered Accountant workflow consultant, Business Analyst Lead, and Enterprise UI/UX Product Designer.</w:t>
      </w:r>
    </w:p>
    <w:p>
      <w:r>
        <w:rPr>
          <w:rFonts w:ascii="Courier New" w:hAnsi="Courier New"/>
          <w:sz w:val="17"/>
        </w:rPr>
        <w:t>I am building PayWithEase Business OS, a mobile-first fintech and accounting platform for Indian MSMEs. The app must monitor every financial transaction of the business: credit, debit, cash, UPI, bank transfer, vendor payment, employee salary, customer receivable, loan, tax payment, GST invoice, purchase, expense, installment, refund, adjustment, and settlement.</w:t>
      </w:r>
    </w:p>
    <w:p>
      <w:r>
        <w:rPr>
          <w:rFonts w:ascii="Courier New" w:hAnsi="Courier New"/>
          <w:sz w:val="17"/>
        </w:rPr>
        <w:t>The product must evolve beyond a payment app into a complete MSME financial operating system that can perform workflows similar to cashier, accountant, auditor assistant, and CA assistant, while keeping human approval mandatory for statutory filings and financial sign-off.</w:t>
      </w:r>
    </w:p>
    <w:p>
      <w:r>
        <w:rPr>
          <w:rFonts w:ascii="Courier New" w:hAnsi="Courier New"/>
          <w:sz w:val="17"/>
        </w:rPr>
        <w:t>Mandatory backend architecture: Java 21, Spring Boot 3.x, Spring Cloud, PostgreSQL, Kafka, Redis, OpenSearch, ClickHouse, Kubernetes, API Gateway, OAuth2/OIDC, mTLS, rate limiting, WAF, observability, CI/CD, and immutable audit trails.</w:t>
      </w:r>
    </w:p>
    <w:p>
      <w:r>
        <w:rPr>
          <w:rFonts w:ascii="Courier New" w:hAnsi="Courier New"/>
          <w:sz w:val="17"/>
        </w:rPr>
        <w:t>The product must support GST invoicing, GSTR-1/GSTR-3B preparation, e-invoice readiness, e-way bill readiness, RBI payment data localization, DPDP privacy controls, EPF/ESI/professional tax/TDS payroll support, income-tax preparation packs, CA review workspace, and audit evidence management.</w:t>
      </w:r>
    </w:p>
    <w:p>
      <w:r>
        <w:rPr>
          <w:rFonts w:ascii="Courier New" w:hAnsi="Courier New"/>
          <w:sz w:val="17"/>
        </w:rPr>
        <w:t>Produce PRD, FRD, TRD, microservices design, database model, event model, API contracts, UI/UX screen map, security architecture, compliance architecture, AI/automation algorithms, sprint roadmap, testing strategy, and production-readiness checklist. Do not compromise on auditability, financial correctness, data privacy, or regulatory review.</w:t>
      </w:r>
    </w:p>
    <w:p>
      <w:pPr>
        <w:pStyle w:val="Heading1"/>
      </w:pPr>
      <w:r>
        <w:t>Strategic Product Rule</w:t>
      </w:r>
    </w:p>
    <w:p>
      <w:r>
        <w:rPr>
          <w:b w:val="0"/>
          <w:i w:val="0"/>
        </w:rPr>
        <w:t>The application should never be positioned as replacing a Chartered Accountant or statutory auditor. It should be positioned as an accounting-grade automation and compliance-readiness platform that prepares clean data, evidence, reports, and review workflows for business owners, accountants, auditors, and CAs.</w:t>
      </w:r>
    </w:p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