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563C1"/>
          <w:sz w:val="24"/>
        </w:rPr>
        <w:t>PAYWITHEASE BUSINESS OS</w:t>
      </w:r>
    </w:p>
    <w:p>
      <w:pPr>
        <w:jc w:val="center"/>
      </w:pPr>
      <w:r>
        <w:rPr>
          <w:b/>
          <w:color w:val="0B3D91"/>
          <w:sz w:val="44"/>
        </w:rPr>
        <w:t>Product Requirements Document</w:t>
      </w:r>
    </w:p>
    <w:p>
      <w:pPr>
        <w:jc w:val="center"/>
      </w:pPr>
      <w:r>
        <w:rPr>
          <w:i/>
          <w:color w:val="505050"/>
          <w:sz w:val="22"/>
        </w:rPr>
        <w:t>PRD for PayWithEase Business OS: Indian MSME fintech, accounting, and compliance platform.</w:t>
      </w:r>
    </w:p>
    <w:p/>
    <w:tbl>
      <w:tblPr>
        <w:tblW w:type="auto" w:w="0"/>
        <w:jc w:val="center"/>
        <w:tblLook w:firstColumn="1" w:firstRow="1" w:lastColumn="0" w:lastRow="0" w:noHBand="0" w:noVBand="1" w:val="04A0"/>
      </w:tblPr>
      <w:tblGrid>
        <w:gridCol w:w="5184"/>
        <w:gridCol w:w="5184"/>
      </w:tblGrid>
      <w:tr>
        <w:tc>
          <w:tcPr>
            <w:tcW w:type="dxa" w:w="5184"/>
            <w:shd w:fill="EAF2F8"/>
          </w:tcPr>
          <w:p>
            <w:pPr>
              <w:jc w:val="left"/>
            </w:pPr>
            <w:r/>
            <w:r>
              <w:rPr>
                <w:b/>
                <w:sz w:val="17"/>
              </w:rPr>
              <w:t>Version</w:t>
            </w:r>
          </w:p>
        </w:tc>
        <w:tc>
          <w:tcPr>
            <w:tcW w:type="dxa" w:w="5184"/>
          </w:tcPr>
          <w:p>
            <w:pPr>
              <w:jc w:val="left"/>
            </w:pPr>
            <w:r/>
            <w:r>
              <w:rPr>
                <w:b w:val="0"/>
                <w:sz w:val="17"/>
              </w:rPr>
              <w:t>1.0 - July 2026</w:t>
            </w:r>
          </w:p>
        </w:tc>
      </w:tr>
      <w:tr>
        <w:tc>
          <w:tcPr>
            <w:tcW w:type="dxa" w:w="5184"/>
            <w:shd w:fill="EAF2F8"/>
          </w:tcPr>
          <w:p>
            <w:pPr>
              <w:jc w:val="left"/>
            </w:pPr>
            <w:r/>
            <w:r>
              <w:rPr>
                <w:b/>
                <w:sz w:val="17"/>
              </w:rPr>
              <w:t>Prepared For</w:t>
            </w:r>
          </w:p>
        </w:tc>
        <w:tc>
          <w:tcPr>
            <w:tcW w:type="dxa" w:w="5184"/>
          </w:tcPr>
          <w:p>
            <w:pPr>
              <w:jc w:val="left"/>
            </w:pPr>
            <w:r/>
            <w:r>
              <w:rPr>
                <w:b w:val="0"/>
                <w:sz w:val="17"/>
              </w:rPr>
              <w:t>PayWithEase / PEB MSME FinTech App</w:t>
            </w:r>
          </w:p>
        </w:tc>
      </w:tr>
      <w:tr>
        <w:tc>
          <w:tcPr>
            <w:tcW w:type="dxa" w:w="5184"/>
            <w:shd w:fill="EAF2F8"/>
          </w:tcPr>
          <w:p>
            <w:pPr>
              <w:jc w:val="left"/>
            </w:pPr>
            <w:r/>
            <w:r>
              <w:rPr>
                <w:b/>
                <w:sz w:val="17"/>
              </w:rPr>
              <w:t>Architecture Direction</w:t>
            </w:r>
          </w:p>
        </w:tc>
        <w:tc>
          <w:tcPr>
            <w:tcW w:type="dxa" w:w="5184"/>
          </w:tcPr>
          <w:p>
            <w:pPr>
              <w:jc w:val="left"/>
            </w:pPr>
            <w:r/>
            <w:r>
              <w:rPr>
                <w:b w:val="0"/>
                <w:sz w:val="17"/>
              </w:rPr>
              <w:t>Java 21 + Spring Boot 3.x + Microservices</w:t>
            </w:r>
          </w:p>
        </w:tc>
      </w:tr>
      <w:tr>
        <w:tc>
          <w:tcPr>
            <w:tcW w:type="dxa" w:w="5184"/>
            <w:shd w:fill="EAF2F8"/>
          </w:tcPr>
          <w:p>
            <w:pPr>
              <w:jc w:val="left"/>
            </w:pPr>
            <w:r/>
            <w:r>
              <w:rPr>
                <w:b/>
                <w:sz w:val="17"/>
              </w:rPr>
              <w:t>Primary Market</w:t>
            </w:r>
          </w:p>
        </w:tc>
        <w:tc>
          <w:tcPr>
            <w:tcW w:type="dxa" w:w="5184"/>
          </w:tcPr>
          <w:p>
            <w:pPr>
              <w:jc w:val="left"/>
            </w:pPr>
            <w:r/>
            <w:r>
              <w:rPr>
                <w:b w:val="0"/>
                <w:sz w:val="17"/>
              </w:rPr>
              <w:t>Indian MSMEs, proprietors, traders, service firms, training institutes, and small companies</w:t>
            </w:r>
          </w:p>
        </w:tc>
      </w:tr>
      <w:tr>
        <w:tc>
          <w:tcPr>
            <w:tcW w:type="dxa" w:w="5184"/>
            <w:shd w:fill="EAF2F8"/>
          </w:tcPr>
          <w:p>
            <w:pPr>
              <w:jc w:val="left"/>
            </w:pPr>
            <w:r/>
            <w:r>
              <w:rPr>
                <w:b/>
                <w:sz w:val="17"/>
              </w:rPr>
              <w:t>Document Status</w:t>
            </w:r>
          </w:p>
        </w:tc>
        <w:tc>
          <w:tcPr>
            <w:tcW w:type="dxa" w:w="5184"/>
          </w:tcPr>
          <w:p>
            <w:pPr>
              <w:jc w:val="left"/>
            </w:pPr>
            <w:r/>
            <w:r>
              <w:rPr>
                <w:b w:val="0"/>
                <w:sz w:val="17"/>
              </w:rPr>
              <w:t>Production-ready planning blueprint; requires legal/CA review before statutory filing integration</w:t>
            </w:r>
          </w:p>
        </w:tc>
      </w:tr>
    </w:tbl>
    <w:p>
      <w:r>
        <w:br w:type="page"/>
      </w:r>
    </w:p>
    <w:p>
      <w:pPr>
        <w:pStyle w:val="Heading1"/>
      </w:pPr>
      <w:r>
        <w:t>1. Executive Summary</w:t>
      </w:r>
    </w:p>
    <w:p>
      <w:r>
        <w:rPr>
          <w:b w:val="0"/>
          <w:i w:val="0"/>
        </w:rPr>
        <w:t>PayWithEase Business OS is a mobile-first platform for Indian MSMEs to capture, monitor, classify, reconcile, and report every financial transaction. It expands the current PEB Receive, Pay, Installment, Reminder, OCR, Invoice, Payroll, and Dashboard concept into a full accounting-grade financial operating system.</w:t>
      </w:r>
    </w:p>
    <w:p>
      <w:pPr>
        <w:pStyle w:val="Heading1"/>
      </w:pPr>
      <w:r>
        <w:t>2. Product Goals</w:t>
      </w:r>
    </w:p>
    <w:tbl>
      <w:tblPr>
        <w:tblStyle w:val="TableGrid"/>
        <w:tblW w:type="auto" w:w="0"/>
        <w:jc w:val="center"/>
        <w:tblLook w:firstColumn="1" w:firstRow="1" w:lastColumn="0" w:lastRow="0" w:noHBand="0" w:noVBand="1" w:val="04A0"/>
      </w:tblPr>
      <w:tblGrid>
        <w:gridCol w:w="5184"/>
        <w:gridCol w:w="5184"/>
      </w:tblGrid>
      <w:tr>
        <w:tc>
          <w:tcPr>
            <w:tcW w:type="dxa" w:w="5184"/>
            <w:shd w:fill="0B3D91"/>
          </w:tcPr>
          <w:p>
            <w:pPr>
              <w:jc w:val="left"/>
            </w:pPr>
            <w:r/>
            <w:r>
              <w:rPr>
                <w:b/>
                <w:color w:val="FFFFFF"/>
                <w:sz w:val="17"/>
              </w:rPr>
              <w:t>Goal</w:t>
            </w:r>
          </w:p>
        </w:tc>
        <w:tc>
          <w:tcPr>
            <w:tcW w:type="dxa" w:w="5184"/>
            <w:shd w:fill="0B3D91"/>
          </w:tcPr>
          <w:p>
            <w:pPr>
              <w:jc w:val="left"/>
            </w:pPr>
            <w:r/>
            <w:r>
              <w:rPr>
                <w:b/>
                <w:color w:val="FFFFFF"/>
                <w:sz w:val="17"/>
              </w:rPr>
              <w:t>Requirement</w:t>
            </w:r>
          </w:p>
        </w:tc>
      </w:tr>
      <w:tr>
        <w:tc>
          <w:tcPr>
            <w:tcW w:type="dxa" w:w="5184"/>
            <w:vAlign w:val="top"/>
          </w:tcPr>
          <w:p>
            <w:pPr>
              <w:jc w:val="left"/>
            </w:pPr>
            <w:r/>
            <w:r>
              <w:rPr>
                <w:b w:val="0"/>
                <w:sz w:val="17"/>
              </w:rPr>
              <w:t>Transaction completeness</w:t>
            </w:r>
          </w:p>
        </w:tc>
        <w:tc>
          <w:tcPr>
            <w:tcW w:type="dxa" w:w="5184"/>
            <w:vAlign w:val="top"/>
          </w:tcPr>
          <w:p>
            <w:pPr>
              <w:jc w:val="left"/>
            </w:pPr>
            <w:r/>
            <w:r>
              <w:rPr>
                <w:b w:val="0"/>
                <w:sz w:val="17"/>
              </w:rPr>
              <w:t>Capture every credit and debit across cash, UPI, bank, payment gateway, payroll, vendors, loans, and taxes.</w:t>
            </w:r>
          </w:p>
        </w:tc>
      </w:tr>
      <w:tr>
        <w:tc>
          <w:tcPr>
            <w:tcW w:type="dxa" w:w="5184"/>
            <w:vAlign w:val="top"/>
          </w:tcPr>
          <w:p>
            <w:pPr>
              <w:jc w:val="left"/>
            </w:pPr>
            <w:r/>
            <w:r>
              <w:rPr>
                <w:b w:val="0"/>
                <w:sz w:val="17"/>
              </w:rPr>
              <w:t>Accounting correctness</w:t>
            </w:r>
          </w:p>
        </w:tc>
        <w:tc>
          <w:tcPr>
            <w:tcW w:type="dxa" w:w="5184"/>
            <w:vAlign w:val="top"/>
          </w:tcPr>
          <w:p>
            <w:pPr>
              <w:jc w:val="left"/>
            </w:pPr>
            <w:r/>
            <w:r>
              <w:rPr>
                <w:b w:val="0"/>
                <w:sz w:val="17"/>
              </w:rPr>
              <w:t>Generate double-entry accounting records from business events with review and correction workflows.</w:t>
            </w:r>
          </w:p>
        </w:tc>
      </w:tr>
      <w:tr>
        <w:tc>
          <w:tcPr>
            <w:tcW w:type="dxa" w:w="5184"/>
            <w:vAlign w:val="top"/>
          </w:tcPr>
          <w:p>
            <w:pPr>
              <w:jc w:val="left"/>
            </w:pPr>
            <w:r/>
            <w:r>
              <w:rPr>
                <w:b w:val="0"/>
                <w:sz w:val="17"/>
              </w:rPr>
              <w:t>Compliance readiness</w:t>
            </w:r>
          </w:p>
        </w:tc>
        <w:tc>
          <w:tcPr>
            <w:tcW w:type="dxa" w:w="5184"/>
            <w:vAlign w:val="top"/>
          </w:tcPr>
          <w:p>
            <w:pPr>
              <w:jc w:val="left"/>
            </w:pPr>
            <w:r/>
            <w:r>
              <w:rPr>
                <w:b w:val="0"/>
                <w:sz w:val="17"/>
              </w:rPr>
              <w:t>Prepare GST, payroll, income-tax, and audit-ready reports using current Indian regulatory expectations.</w:t>
            </w:r>
          </w:p>
        </w:tc>
      </w:tr>
      <w:tr>
        <w:tc>
          <w:tcPr>
            <w:tcW w:type="dxa" w:w="5184"/>
            <w:vAlign w:val="top"/>
          </w:tcPr>
          <w:p>
            <w:pPr>
              <w:jc w:val="left"/>
            </w:pPr>
            <w:r/>
            <w:r>
              <w:rPr>
                <w:b w:val="0"/>
                <w:sz w:val="17"/>
              </w:rPr>
              <w:t>User simplicity</w:t>
            </w:r>
          </w:p>
        </w:tc>
        <w:tc>
          <w:tcPr>
            <w:tcW w:type="dxa" w:w="5184"/>
            <w:vAlign w:val="top"/>
          </w:tcPr>
          <w:p>
            <w:pPr>
              <w:jc w:val="left"/>
            </w:pPr>
            <w:r/>
            <w:r>
              <w:rPr>
                <w:b w:val="0"/>
                <w:sz w:val="17"/>
              </w:rPr>
              <w:t>Enable non-accountants to understand dues, profit, taxes, and cashflow without accounting jargon.</w:t>
            </w:r>
          </w:p>
        </w:tc>
      </w:tr>
      <w:tr>
        <w:tc>
          <w:tcPr>
            <w:tcW w:type="dxa" w:w="5184"/>
            <w:vAlign w:val="top"/>
          </w:tcPr>
          <w:p>
            <w:pPr>
              <w:jc w:val="left"/>
            </w:pPr>
            <w:r/>
            <w:r>
              <w:rPr>
                <w:b w:val="0"/>
                <w:sz w:val="17"/>
              </w:rPr>
              <w:t>Security and trust</w:t>
            </w:r>
          </w:p>
        </w:tc>
        <w:tc>
          <w:tcPr>
            <w:tcW w:type="dxa" w:w="5184"/>
            <w:vAlign w:val="top"/>
          </w:tcPr>
          <w:p>
            <w:pPr>
              <w:jc w:val="left"/>
            </w:pPr>
            <w:r/>
            <w:r>
              <w:rPr>
                <w:b w:val="0"/>
                <w:sz w:val="17"/>
              </w:rPr>
              <w:t>Provide fintech-grade security, encryption, tenant isolation, auditability, and privacy controls.</w:t>
            </w:r>
          </w:p>
        </w:tc>
      </w:tr>
      <w:tr>
        <w:tc>
          <w:tcPr>
            <w:tcW w:type="dxa" w:w="5184"/>
            <w:vAlign w:val="top"/>
          </w:tcPr>
          <w:p>
            <w:pPr>
              <w:jc w:val="left"/>
            </w:pPr>
            <w:r/>
            <w:r>
              <w:rPr>
                <w:b w:val="0"/>
                <w:sz w:val="17"/>
              </w:rPr>
              <w:t>Scalability</w:t>
            </w:r>
          </w:p>
        </w:tc>
        <w:tc>
          <w:tcPr>
            <w:tcW w:type="dxa" w:w="5184"/>
            <w:vAlign w:val="top"/>
          </w:tcPr>
          <w:p>
            <w:pPr>
              <w:jc w:val="left"/>
            </w:pPr>
            <w:r/>
            <w:r>
              <w:rPr>
                <w:b w:val="0"/>
                <w:sz w:val="17"/>
              </w:rPr>
              <w:t>Support small businesses from single-owner usage to multi-branch, multi-role, CA-managed workflows.</w:t>
            </w:r>
          </w:p>
        </w:tc>
      </w:tr>
    </w:tbl>
    <w:p/>
    <w:p>
      <w:pPr>
        <w:pStyle w:val="Heading1"/>
      </w:pPr>
      <w:r>
        <w:t>3. Personas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B3D91"/>
          </w:tcPr>
          <w:p>
            <w:pPr>
              <w:jc w:val="left"/>
            </w:pPr>
            <w:r/>
            <w:r>
              <w:rPr>
                <w:b/>
                <w:color w:val="FFFFFF"/>
                <w:sz w:val="17"/>
              </w:rPr>
              <w:t>Persona</w:t>
            </w:r>
          </w:p>
        </w:tc>
        <w:tc>
          <w:tcPr>
            <w:tcW w:type="dxa" w:w="3456"/>
            <w:shd w:fill="0B3D91"/>
          </w:tcPr>
          <w:p>
            <w:pPr>
              <w:jc w:val="left"/>
            </w:pPr>
            <w:r/>
            <w:r>
              <w:rPr>
                <w:b/>
                <w:color w:val="FFFFFF"/>
                <w:sz w:val="17"/>
              </w:rPr>
              <w:t>Primary Jobs</w:t>
            </w:r>
          </w:p>
        </w:tc>
        <w:tc>
          <w:tcPr>
            <w:tcW w:type="dxa" w:w="3456"/>
            <w:shd w:fill="0B3D91"/>
          </w:tcPr>
          <w:p>
            <w:pPr>
              <w:jc w:val="left"/>
            </w:pPr>
            <w:r/>
            <w:r>
              <w:rPr>
                <w:b/>
                <w:color w:val="FFFFFF"/>
                <w:sz w:val="17"/>
              </w:rPr>
              <w:t>Permission Profile</w:t>
            </w:r>
          </w:p>
        </w:tc>
      </w:tr>
      <w:tr>
        <w:tc>
          <w:tcPr>
            <w:tcW w:type="dxa" w:w="3456"/>
            <w:vAlign w:val="top"/>
          </w:tcPr>
          <w:p>
            <w:pPr>
              <w:jc w:val="left"/>
            </w:pPr>
            <w:r/>
            <w:r>
              <w:rPr>
                <w:b w:val="0"/>
                <w:sz w:val="17"/>
              </w:rPr>
              <w:t>Business Owner</w:t>
            </w:r>
          </w:p>
        </w:tc>
        <w:tc>
          <w:tcPr>
            <w:tcW w:type="dxa" w:w="3456"/>
            <w:vAlign w:val="top"/>
          </w:tcPr>
          <w:p>
            <w:pPr>
              <w:jc w:val="left"/>
            </w:pPr>
            <w:r/>
            <w:r>
              <w:rPr>
                <w:b w:val="0"/>
                <w:sz w:val="17"/>
              </w:rPr>
              <w:t>Monitor cash, collect payments, pay vendors/employees, approve reports.</w:t>
            </w:r>
          </w:p>
        </w:tc>
        <w:tc>
          <w:tcPr>
            <w:tcW w:type="dxa" w:w="3456"/>
            <w:vAlign w:val="top"/>
          </w:tcPr>
          <w:p>
            <w:pPr>
              <w:jc w:val="left"/>
            </w:pPr>
            <w:r/>
            <w:r>
              <w:rPr>
                <w:b w:val="0"/>
                <w:sz w:val="17"/>
              </w:rPr>
              <w:t>Full access with final approval authority.</w:t>
            </w:r>
          </w:p>
        </w:tc>
      </w:tr>
      <w:tr>
        <w:tc>
          <w:tcPr>
            <w:tcW w:type="dxa" w:w="3456"/>
            <w:vAlign w:val="top"/>
          </w:tcPr>
          <w:p>
            <w:pPr>
              <w:jc w:val="left"/>
            </w:pPr>
            <w:r/>
            <w:r>
              <w:rPr>
                <w:b w:val="0"/>
                <w:sz w:val="17"/>
              </w:rPr>
              <w:t>Cashier</w:t>
            </w:r>
          </w:p>
        </w:tc>
        <w:tc>
          <w:tcPr>
            <w:tcW w:type="dxa" w:w="3456"/>
            <w:vAlign w:val="top"/>
          </w:tcPr>
          <w:p>
            <w:pPr>
              <w:jc w:val="left"/>
            </w:pPr>
            <w:r/>
            <w:r>
              <w:rPr>
                <w:b w:val="0"/>
                <w:sz w:val="17"/>
              </w:rPr>
              <w:t>Record cash/UPI receipts, issue receipts, close cash counter.</w:t>
            </w:r>
          </w:p>
        </w:tc>
        <w:tc>
          <w:tcPr>
            <w:tcW w:type="dxa" w:w="3456"/>
            <w:vAlign w:val="top"/>
          </w:tcPr>
          <w:p>
            <w:pPr>
              <w:jc w:val="left"/>
            </w:pPr>
            <w:r/>
            <w:r>
              <w:rPr>
                <w:b w:val="0"/>
                <w:sz w:val="17"/>
              </w:rPr>
              <w:t>Limited transaction capture; no deletion; no compliance export.</w:t>
            </w:r>
          </w:p>
        </w:tc>
      </w:tr>
      <w:tr>
        <w:tc>
          <w:tcPr>
            <w:tcW w:type="dxa" w:w="3456"/>
            <w:vAlign w:val="top"/>
          </w:tcPr>
          <w:p>
            <w:pPr>
              <w:jc w:val="left"/>
            </w:pPr>
            <w:r/>
            <w:r>
              <w:rPr>
                <w:b w:val="0"/>
                <w:sz w:val="17"/>
              </w:rPr>
              <w:t>Accountant</w:t>
            </w:r>
          </w:p>
        </w:tc>
        <w:tc>
          <w:tcPr>
            <w:tcW w:type="dxa" w:w="3456"/>
            <w:vAlign w:val="top"/>
          </w:tcPr>
          <w:p>
            <w:pPr>
              <w:jc w:val="left"/>
            </w:pPr>
            <w:r/>
            <w:r>
              <w:rPr>
                <w:b w:val="0"/>
                <w:sz w:val="17"/>
              </w:rPr>
              <w:t>Book ledgers, reconcile statements, prepare reports.</w:t>
            </w:r>
          </w:p>
        </w:tc>
        <w:tc>
          <w:tcPr>
            <w:tcW w:type="dxa" w:w="3456"/>
            <w:vAlign w:val="top"/>
          </w:tcPr>
          <w:p>
            <w:pPr>
              <w:jc w:val="left"/>
            </w:pPr>
            <w:r/>
            <w:r>
              <w:rPr>
                <w:b w:val="0"/>
                <w:sz w:val="17"/>
              </w:rPr>
              <w:t>Accounting and report access; maker role for corrections.</w:t>
            </w:r>
          </w:p>
        </w:tc>
      </w:tr>
      <w:tr>
        <w:tc>
          <w:tcPr>
            <w:tcW w:type="dxa" w:w="3456"/>
            <w:vAlign w:val="top"/>
          </w:tcPr>
          <w:p>
            <w:pPr>
              <w:jc w:val="left"/>
            </w:pPr>
            <w:r/>
            <w:r>
              <w:rPr>
                <w:b w:val="0"/>
                <w:sz w:val="17"/>
              </w:rPr>
              <w:t>Auditor</w:t>
            </w:r>
          </w:p>
        </w:tc>
        <w:tc>
          <w:tcPr>
            <w:tcW w:type="dxa" w:w="3456"/>
            <w:vAlign w:val="top"/>
          </w:tcPr>
          <w:p>
            <w:pPr>
              <w:jc w:val="left"/>
            </w:pPr>
            <w:r/>
            <w:r>
              <w:rPr>
                <w:b w:val="0"/>
                <w:sz w:val="17"/>
              </w:rPr>
              <w:t>Review evidence, exceptions, edits, and month-end packs.</w:t>
            </w:r>
          </w:p>
        </w:tc>
        <w:tc>
          <w:tcPr>
            <w:tcW w:type="dxa" w:w="3456"/>
            <w:vAlign w:val="top"/>
          </w:tcPr>
          <w:p>
            <w:pPr>
              <w:jc w:val="left"/>
            </w:pPr>
            <w:r/>
            <w:r>
              <w:rPr>
                <w:b w:val="0"/>
                <w:sz w:val="17"/>
              </w:rPr>
              <w:t>Read-only with comments and exception flags.</w:t>
            </w:r>
          </w:p>
        </w:tc>
      </w:tr>
      <w:tr>
        <w:tc>
          <w:tcPr>
            <w:tcW w:type="dxa" w:w="3456"/>
            <w:vAlign w:val="top"/>
          </w:tcPr>
          <w:p>
            <w:pPr>
              <w:jc w:val="left"/>
            </w:pPr>
            <w:r/>
            <w:r>
              <w:rPr>
                <w:b w:val="0"/>
                <w:sz w:val="17"/>
              </w:rPr>
              <w:t>CA</w:t>
            </w:r>
          </w:p>
        </w:tc>
        <w:tc>
          <w:tcPr>
            <w:tcW w:type="dxa" w:w="3456"/>
            <w:vAlign w:val="top"/>
          </w:tcPr>
          <w:p>
            <w:pPr>
              <w:jc w:val="left"/>
            </w:pPr>
            <w:r/>
            <w:r>
              <w:rPr>
                <w:b w:val="0"/>
                <w:sz w:val="17"/>
              </w:rPr>
              <w:t>Review compliance packs and advise on filings.</w:t>
            </w:r>
          </w:p>
        </w:tc>
        <w:tc>
          <w:tcPr>
            <w:tcW w:type="dxa" w:w="3456"/>
            <w:vAlign w:val="top"/>
          </w:tcPr>
          <w:p>
            <w:pPr>
              <w:jc w:val="left"/>
            </w:pPr>
            <w:r/>
            <w:r>
              <w:rPr>
                <w:b w:val="0"/>
                <w:sz w:val="17"/>
              </w:rPr>
              <w:t>Review/approve/export; no silent data modification.</w:t>
            </w:r>
          </w:p>
        </w:tc>
      </w:tr>
      <w:tr>
        <w:tc>
          <w:tcPr>
            <w:tcW w:type="dxa" w:w="3456"/>
            <w:vAlign w:val="top"/>
          </w:tcPr>
          <w:p>
            <w:pPr>
              <w:jc w:val="left"/>
            </w:pPr>
            <w:r/>
            <w:r>
              <w:rPr>
                <w:b w:val="0"/>
                <w:sz w:val="17"/>
              </w:rPr>
              <w:t>Employee</w:t>
            </w:r>
          </w:p>
        </w:tc>
        <w:tc>
          <w:tcPr>
            <w:tcW w:type="dxa" w:w="3456"/>
            <w:vAlign w:val="top"/>
          </w:tcPr>
          <w:p>
            <w:pPr>
              <w:jc w:val="left"/>
            </w:pPr>
            <w:r/>
            <w:r>
              <w:rPr>
                <w:b w:val="0"/>
                <w:sz w:val="17"/>
              </w:rPr>
              <w:t>Receive payslip and salary record.</w:t>
            </w:r>
          </w:p>
        </w:tc>
        <w:tc>
          <w:tcPr>
            <w:tcW w:type="dxa" w:w="3456"/>
            <w:vAlign w:val="top"/>
          </w:tcPr>
          <w:p>
            <w:pPr>
              <w:jc w:val="left"/>
            </w:pPr>
            <w:r/>
            <w:r>
              <w:rPr>
                <w:b w:val="0"/>
                <w:sz w:val="17"/>
              </w:rPr>
              <w:t>Self-service only.</w:t>
            </w:r>
          </w:p>
        </w:tc>
      </w:tr>
      <w:tr>
        <w:tc>
          <w:tcPr>
            <w:tcW w:type="dxa" w:w="3456"/>
            <w:vAlign w:val="top"/>
          </w:tcPr>
          <w:p>
            <w:pPr>
              <w:jc w:val="left"/>
            </w:pPr>
            <w:r/>
            <w:r>
              <w:rPr>
                <w:b w:val="0"/>
                <w:sz w:val="17"/>
              </w:rPr>
              <w:t>Customer/Vendor</w:t>
            </w:r>
          </w:p>
        </w:tc>
        <w:tc>
          <w:tcPr>
            <w:tcW w:type="dxa" w:w="3456"/>
            <w:vAlign w:val="top"/>
          </w:tcPr>
          <w:p>
            <w:pPr>
              <w:jc w:val="left"/>
            </w:pPr>
            <w:r/>
            <w:r>
              <w:rPr>
                <w:b w:val="0"/>
                <w:sz w:val="17"/>
              </w:rPr>
              <w:t>Receive invoice/payment link/payment confirmation.</w:t>
            </w:r>
          </w:p>
        </w:tc>
        <w:tc>
          <w:tcPr>
            <w:tcW w:type="dxa" w:w="3456"/>
            <w:vAlign w:val="top"/>
          </w:tcPr>
          <w:p>
            <w:pPr>
              <w:jc w:val="left"/>
            </w:pPr>
            <w:r/>
            <w:r>
              <w:rPr>
                <w:b w:val="0"/>
                <w:sz w:val="17"/>
              </w:rPr>
              <w:t>External document/payment interaction only.</w:t>
            </w:r>
          </w:p>
        </w:tc>
      </w:tr>
    </w:tbl>
    <w:p/>
    <w:p>
      <w:pPr>
        <w:pStyle w:val="Heading1"/>
      </w:pPr>
      <w:r>
        <w:t>4. Scope</w:t>
      </w:r>
    </w:p>
    <w:tbl>
      <w:tblPr>
        <w:tblStyle w:val="TableGrid"/>
        <w:tblW w:type="auto" w:w="0"/>
        <w:jc w:val="center"/>
        <w:tblLook w:firstColumn="1" w:firstRow="1" w:lastColumn="0" w:lastRow="0" w:noHBand="0" w:noVBand="1" w:val="04A0"/>
      </w:tblPr>
      <w:tblGrid>
        <w:gridCol w:w="5184"/>
        <w:gridCol w:w="5184"/>
      </w:tblGrid>
      <w:tr>
        <w:tc>
          <w:tcPr>
            <w:tcW w:type="dxa" w:w="5184"/>
            <w:shd w:fill="0B3D91"/>
          </w:tcPr>
          <w:p>
            <w:pPr>
              <w:jc w:val="left"/>
            </w:pPr>
            <w:r/>
            <w:r>
              <w:rPr>
                <w:b/>
                <w:color w:val="FFFFFF"/>
                <w:sz w:val="17"/>
              </w:rPr>
              <w:t>In Scope</w:t>
            </w:r>
          </w:p>
        </w:tc>
        <w:tc>
          <w:tcPr>
            <w:tcW w:type="dxa" w:w="5184"/>
            <w:shd w:fill="0B3D91"/>
          </w:tcPr>
          <w:p>
            <w:pPr>
              <w:jc w:val="left"/>
            </w:pPr>
            <w:r/>
            <w:r>
              <w:rPr>
                <w:b/>
                <w:color w:val="FFFFFF"/>
                <w:sz w:val="17"/>
              </w:rPr>
              <w:t>Out of Scope for MVP</w:t>
            </w:r>
          </w:p>
        </w:tc>
      </w:tr>
      <w:tr>
        <w:tc>
          <w:tcPr>
            <w:tcW w:type="dxa" w:w="5184"/>
            <w:vAlign w:val="top"/>
          </w:tcPr>
          <w:p>
            <w:pPr>
              <w:jc w:val="left"/>
            </w:pPr>
            <w:r/>
            <w:r>
              <w:rPr>
                <w:b w:val="0"/>
                <w:sz w:val="17"/>
              </w:rPr>
              <w:t>Payments, invoices, customer/vendor/employee ledgers, accounting entries, GST reports, payroll reports, reconciliation, CA workspace.</w:t>
            </w:r>
          </w:p>
        </w:tc>
        <w:tc>
          <w:tcPr>
            <w:tcW w:type="dxa" w:w="5184"/>
            <w:vAlign w:val="top"/>
          </w:tcPr>
          <w:p>
            <w:pPr>
              <w:jc w:val="left"/>
            </w:pPr>
            <w:r/>
            <w:r>
              <w:rPr>
                <w:b w:val="0"/>
                <w:sz w:val="17"/>
              </w:rPr>
              <w:t>Direct statutory filing submission without regulated/authorized integration and expert review.</w:t>
            </w:r>
          </w:p>
        </w:tc>
      </w:tr>
      <w:tr>
        <w:tc>
          <w:tcPr>
            <w:tcW w:type="dxa" w:w="5184"/>
            <w:vAlign w:val="top"/>
          </w:tcPr>
          <w:p>
            <w:pPr>
              <w:jc w:val="left"/>
            </w:pPr>
            <w:r/>
            <w:r>
              <w:rPr>
                <w:b w:val="0"/>
                <w:sz w:val="17"/>
              </w:rPr>
              <w:t>Mobile app, web CA/accountant panel, backend microservices, audit trails, document storage.</w:t>
            </w:r>
          </w:p>
        </w:tc>
        <w:tc>
          <w:tcPr>
            <w:tcW w:type="dxa" w:w="5184"/>
            <w:vAlign w:val="top"/>
          </w:tcPr>
          <w:p>
            <w:pPr>
              <w:jc w:val="left"/>
            </w:pPr>
            <w:r/>
            <w:r>
              <w:rPr>
                <w:b w:val="0"/>
                <w:sz w:val="17"/>
              </w:rPr>
              <w:t>Lending, credit underwriting, insurance sales, or investment advisory in initial release.</w:t>
            </w:r>
          </w:p>
        </w:tc>
      </w:tr>
      <w:tr>
        <w:tc>
          <w:tcPr>
            <w:tcW w:type="dxa" w:w="5184"/>
            <w:vAlign w:val="top"/>
          </w:tcPr>
          <w:p>
            <w:pPr>
              <w:jc w:val="left"/>
            </w:pPr>
            <w:r/>
            <w:r>
              <w:rPr>
                <w:b w:val="0"/>
                <w:sz w:val="17"/>
              </w:rPr>
              <w:t>AI-assisted categorization, OCR, anomalies, cashflow forecast with human confirmation.</w:t>
            </w:r>
          </w:p>
        </w:tc>
        <w:tc>
          <w:tcPr>
            <w:tcW w:type="dxa" w:w="5184"/>
            <w:vAlign w:val="top"/>
          </w:tcPr>
          <w:p>
            <w:pPr>
              <w:jc w:val="left"/>
            </w:pPr>
            <w:r/>
            <w:r>
              <w:rPr>
                <w:b w:val="0"/>
                <w:sz w:val="17"/>
              </w:rPr>
              <w:t>Fully autonomous accounting or autonomous tax filing without approval.</w:t>
            </w:r>
          </w:p>
        </w:tc>
      </w:tr>
    </w:tbl>
    <w:p/>
    <w:p>
      <w:pPr>
        <w:pStyle w:val="Heading1"/>
      </w:pPr>
      <w:r>
        <w:t>5. Major Modules</w:t>
      </w:r>
    </w:p>
    <w:tbl>
      <w:tblPr>
        <w:tblStyle w:val="TableGrid"/>
        <w:tblW w:type="auto" w:w="0"/>
        <w:jc w:val="center"/>
        <w:tblLook w:firstColumn="1" w:firstRow="1" w:lastColumn="0" w:lastRow="0" w:noHBand="0" w:noVBand="1" w:val="04A0"/>
      </w:tblPr>
      <w:tblGrid>
        <w:gridCol w:w="5184"/>
        <w:gridCol w:w="5184"/>
      </w:tblGrid>
      <w:tr>
        <w:tc>
          <w:tcPr>
            <w:tcW w:type="dxa" w:w="5184"/>
            <w:shd w:fill="0B3D91"/>
          </w:tcPr>
          <w:p>
            <w:pPr>
              <w:jc w:val="left"/>
            </w:pPr>
            <w:r/>
            <w:r>
              <w:rPr>
                <w:b/>
                <w:color w:val="FFFFFF"/>
                <w:sz w:val="17"/>
              </w:rPr>
              <w:t>Module</w:t>
            </w:r>
          </w:p>
        </w:tc>
        <w:tc>
          <w:tcPr>
            <w:tcW w:type="dxa" w:w="5184"/>
            <w:shd w:fill="0B3D91"/>
          </w:tcPr>
          <w:p>
            <w:pPr>
              <w:jc w:val="left"/>
            </w:pPr>
            <w:r/>
            <w:r>
              <w:rPr>
                <w:b/>
                <w:color w:val="FFFFFF"/>
                <w:sz w:val="17"/>
              </w:rPr>
              <w:t>Description</w:t>
            </w:r>
          </w:p>
        </w:tc>
      </w:tr>
      <w:tr>
        <w:tc>
          <w:tcPr>
            <w:tcW w:type="dxa" w:w="5184"/>
            <w:vAlign w:val="top"/>
          </w:tcPr>
          <w:p>
            <w:pPr>
              <w:jc w:val="left"/>
            </w:pPr>
            <w:r/>
            <w:r>
              <w:rPr>
                <w:b w:val="0"/>
                <w:sz w:val="17"/>
              </w:rPr>
              <w:t>Business Setup</w:t>
            </w:r>
          </w:p>
        </w:tc>
        <w:tc>
          <w:tcPr>
            <w:tcW w:type="dxa" w:w="5184"/>
            <w:vAlign w:val="top"/>
          </w:tcPr>
          <w:p>
            <w:pPr>
              <w:jc w:val="left"/>
            </w:pPr>
            <w:r/>
            <w:r>
              <w:rPr>
                <w:b w:val="0"/>
                <w:sz w:val="17"/>
              </w:rPr>
              <w:t>Business profile, GSTIN/PAN/Udyam, branch, invoice settings, chart of accounts setup.</w:t>
            </w:r>
          </w:p>
        </w:tc>
      </w:tr>
      <w:tr>
        <w:tc>
          <w:tcPr>
            <w:tcW w:type="dxa" w:w="5184"/>
            <w:vAlign w:val="top"/>
          </w:tcPr>
          <w:p>
            <w:pPr>
              <w:jc w:val="left"/>
            </w:pPr>
            <w:r/>
            <w:r>
              <w:rPr>
                <w:b w:val="0"/>
                <w:sz w:val="17"/>
              </w:rPr>
              <w:t>Transaction Capture</w:t>
            </w:r>
          </w:p>
        </w:tc>
        <w:tc>
          <w:tcPr>
            <w:tcW w:type="dxa" w:w="5184"/>
            <w:vAlign w:val="top"/>
          </w:tcPr>
          <w:p>
            <w:pPr>
              <w:jc w:val="left"/>
            </w:pPr>
            <w:r/>
            <w:r>
              <w:rPr>
                <w:b w:val="0"/>
                <w:sz w:val="17"/>
              </w:rPr>
              <w:t>Cash, UPI, bank import, payment gateway, manual debit/credit, bill upload, voice entry.</w:t>
            </w:r>
          </w:p>
        </w:tc>
      </w:tr>
      <w:tr>
        <w:tc>
          <w:tcPr>
            <w:tcW w:type="dxa" w:w="5184"/>
            <w:vAlign w:val="top"/>
          </w:tcPr>
          <w:p>
            <w:pPr>
              <w:jc w:val="left"/>
            </w:pPr>
            <w:r/>
            <w:r>
              <w:rPr>
                <w:b w:val="0"/>
                <w:sz w:val="17"/>
              </w:rPr>
              <w:t>Receive</w:t>
            </w:r>
          </w:p>
        </w:tc>
        <w:tc>
          <w:tcPr>
            <w:tcW w:type="dxa" w:w="5184"/>
            <w:vAlign w:val="top"/>
          </w:tcPr>
          <w:p>
            <w:pPr>
              <w:jc w:val="left"/>
            </w:pPr>
            <w:r/>
            <w:r>
              <w:rPr>
                <w:b w:val="0"/>
                <w:sz w:val="17"/>
              </w:rPr>
              <w:t>Customer search, invoice, UPI QR, payment confirmation, receipt, installment schedule.</w:t>
            </w:r>
          </w:p>
        </w:tc>
      </w:tr>
      <w:tr>
        <w:tc>
          <w:tcPr>
            <w:tcW w:type="dxa" w:w="5184"/>
            <w:vAlign w:val="top"/>
          </w:tcPr>
          <w:p>
            <w:pPr>
              <w:jc w:val="left"/>
            </w:pPr>
            <w:r/>
            <w:r>
              <w:rPr>
                <w:b w:val="0"/>
                <w:sz w:val="17"/>
              </w:rPr>
              <w:t>Pay</w:t>
            </w:r>
          </w:p>
        </w:tc>
        <w:tc>
          <w:tcPr>
            <w:tcW w:type="dxa" w:w="5184"/>
            <w:vAlign w:val="top"/>
          </w:tcPr>
          <w:p>
            <w:pPr>
              <w:jc w:val="left"/>
            </w:pPr>
            <w:r/>
            <w:r>
              <w:rPr>
                <w:b w:val="0"/>
                <w:sz w:val="17"/>
              </w:rPr>
              <w:t>Employee salary, vendor purchase, bank/UPI OCR capture, payouts, payable schedule.</w:t>
            </w:r>
          </w:p>
        </w:tc>
      </w:tr>
      <w:tr>
        <w:tc>
          <w:tcPr>
            <w:tcW w:type="dxa" w:w="5184"/>
            <w:vAlign w:val="top"/>
          </w:tcPr>
          <w:p>
            <w:pPr>
              <w:jc w:val="left"/>
            </w:pPr>
            <w:r/>
            <w:r>
              <w:rPr>
                <w:b w:val="0"/>
                <w:sz w:val="17"/>
              </w:rPr>
              <w:t>Accounting</w:t>
            </w:r>
          </w:p>
        </w:tc>
        <w:tc>
          <w:tcPr>
            <w:tcW w:type="dxa" w:w="5184"/>
            <w:vAlign w:val="top"/>
          </w:tcPr>
          <w:p>
            <w:pPr>
              <w:jc w:val="left"/>
            </w:pPr>
            <w:r/>
            <w:r>
              <w:rPr>
                <w:b w:val="0"/>
                <w:sz w:val="17"/>
              </w:rPr>
              <w:t>Journal posting, ledgers, trial balance, P&amp;L, balance sheet, cashflow, month lock.</w:t>
            </w:r>
          </w:p>
        </w:tc>
      </w:tr>
      <w:tr>
        <w:tc>
          <w:tcPr>
            <w:tcW w:type="dxa" w:w="5184"/>
            <w:vAlign w:val="top"/>
          </w:tcPr>
          <w:p>
            <w:pPr>
              <w:jc w:val="left"/>
            </w:pPr>
            <w:r/>
            <w:r>
              <w:rPr>
                <w:b w:val="0"/>
                <w:sz w:val="17"/>
              </w:rPr>
              <w:t>GST Compliance</w:t>
            </w:r>
          </w:p>
        </w:tc>
        <w:tc>
          <w:tcPr>
            <w:tcW w:type="dxa" w:w="5184"/>
            <w:vAlign w:val="top"/>
          </w:tcPr>
          <w:p>
            <w:pPr>
              <w:jc w:val="left"/>
            </w:pPr>
            <w:r/>
            <w:r>
              <w:rPr>
                <w:b w:val="0"/>
                <w:sz w:val="17"/>
              </w:rPr>
              <w:t>Sales/purchase register, GSTR-1, GSTR-3B, ITC, e-invoice/e-way bill readiness.</w:t>
            </w:r>
          </w:p>
        </w:tc>
      </w:tr>
      <w:tr>
        <w:tc>
          <w:tcPr>
            <w:tcW w:type="dxa" w:w="5184"/>
            <w:vAlign w:val="top"/>
          </w:tcPr>
          <w:p>
            <w:pPr>
              <w:jc w:val="left"/>
            </w:pPr>
            <w:r/>
            <w:r>
              <w:rPr>
                <w:b w:val="0"/>
                <w:sz w:val="17"/>
              </w:rPr>
              <w:t>Payroll Compliance</w:t>
            </w:r>
          </w:p>
        </w:tc>
        <w:tc>
          <w:tcPr>
            <w:tcW w:type="dxa" w:w="5184"/>
            <w:vAlign w:val="top"/>
          </w:tcPr>
          <w:p>
            <w:pPr>
              <w:jc w:val="left"/>
            </w:pPr>
            <w:r/>
            <w:r>
              <w:rPr>
                <w:b w:val="0"/>
                <w:sz w:val="17"/>
              </w:rPr>
              <w:t>Salary structure, payslip, PF, ESI, professional tax, salary TDS, reports.</w:t>
            </w:r>
          </w:p>
        </w:tc>
      </w:tr>
      <w:tr>
        <w:tc>
          <w:tcPr>
            <w:tcW w:type="dxa" w:w="5184"/>
            <w:vAlign w:val="top"/>
          </w:tcPr>
          <w:p>
            <w:pPr>
              <w:jc w:val="left"/>
            </w:pPr>
            <w:r/>
            <w:r>
              <w:rPr>
                <w:b w:val="0"/>
                <w:sz w:val="17"/>
              </w:rPr>
              <w:t>Reconciliation</w:t>
            </w:r>
          </w:p>
        </w:tc>
        <w:tc>
          <w:tcPr>
            <w:tcW w:type="dxa" w:w="5184"/>
            <w:vAlign w:val="top"/>
          </w:tcPr>
          <w:p>
            <w:pPr>
              <w:jc w:val="left"/>
            </w:pPr>
            <w:r/>
            <w:r>
              <w:rPr>
                <w:b w:val="0"/>
                <w:sz w:val="17"/>
              </w:rPr>
              <w:t>Bank/UPI/cash versus invoices, purchases, payroll, tax, transfers.</w:t>
            </w:r>
          </w:p>
        </w:tc>
      </w:tr>
      <w:tr>
        <w:tc>
          <w:tcPr>
            <w:tcW w:type="dxa" w:w="5184"/>
            <w:vAlign w:val="top"/>
          </w:tcPr>
          <w:p>
            <w:pPr>
              <w:jc w:val="left"/>
            </w:pPr>
            <w:r/>
            <w:r>
              <w:rPr>
                <w:b w:val="0"/>
                <w:sz w:val="17"/>
              </w:rPr>
              <w:t>Audit Workspace</w:t>
            </w:r>
          </w:p>
        </w:tc>
        <w:tc>
          <w:tcPr>
            <w:tcW w:type="dxa" w:w="5184"/>
            <w:vAlign w:val="top"/>
          </w:tcPr>
          <w:p>
            <w:pPr>
              <w:jc w:val="left"/>
            </w:pPr>
            <w:r/>
            <w:r>
              <w:rPr>
                <w:b w:val="0"/>
                <w:sz w:val="17"/>
              </w:rPr>
              <w:t>Immutable logs, evidence room, maker-checker, CA comments, report exports.</w:t>
            </w:r>
          </w:p>
        </w:tc>
      </w:tr>
      <w:tr>
        <w:tc>
          <w:tcPr>
            <w:tcW w:type="dxa" w:w="5184"/>
            <w:vAlign w:val="top"/>
          </w:tcPr>
          <w:p>
            <w:pPr>
              <w:jc w:val="left"/>
            </w:pPr>
            <w:r/>
            <w:r>
              <w:rPr>
                <w:b w:val="0"/>
                <w:sz w:val="17"/>
              </w:rPr>
              <w:t>Analytics</w:t>
            </w:r>
          </w:p>
        </w:tc>
        <w:tc>
          <w:tcPr>
            <w:tcW w:type="dxa" w:w="5184"/>
            <w:vAlign w:val="top"/>
          </w:tcPr>
          <w:p>
            <w:pPr>
              <w:jc w:val="left"/>
            </w:pPr>
            <w:r/>
            <w:r>
              <w:rPr>
                <w:b w:val="0"/>
                <w:sz w:val="17"/>
              </w:rPr>
              <w:t>Revenue, cost, profit, margin, dues, tax liability, cashflow forecast, risk score.</w:t>
            </w:r>
          </w:p>
        </w:tc>
      </w:tr>
    </w:tbl>
    <w:p/>
    <w:p>
      <w:pPr>
        <w:pStyle w:val="Heading1"/>
      </w:pPr>
      <w:r>
        <w:t>6. User Journeys</w:t>
      </w:r>
    </w:p>
    <w:tbl>
      <w:tblPr>
        <w:tblStyle w:val="TableGrid"/>
        <w:tblW w:type="auto" w:w="0"/>
        <w:jc w:val="center"/>
        <w:tblLook w:firstColumn="1" w:firstRow="1" w:lastColumn="0" w:lastRow="0" w:noHBand="0" w:noVBand="1" w:val="04A0"/>
      </w:tblPr>
      <w:tblGrid>
        <w:gridCol w:w="5184"/>
        <w:gridCol w:w="5184"/>
      </w:tblGrid>
      <w:tr>
        <w:tc>
          <w:tcPr>
            <w:tcW w:type="dxa" w:w="5184"/>
            <w:shd w:fill="0B3D91"/>
          </w:tcPr>
          <w:p>
            <w:pPr>
              <w:jc w:val="left"/>
            </w:pPr>
            <w:r/>
            <w:r>
              <w:rPr>
                <w:b/>
                <w:color w:val="FFFFFF"/>
                <w:sz w:val="17"/>
              </w:rPr>
              <w:t>Journey</w:t>
            </w:r>
          </w:p>
        </w:tc>
        <w:tc>
          <w:tcPr>
            <w:tcW w:type="dxa" w:w="5184"/>
            <w:shd w:fill="0B3D91"/>
          </w:tcPr>
          <w:p>
            <w:pPr>
              <w:jc w:val="left"/>
            </w:pPr>
            <w:r/>
            <w:r>
              <w:rPr>
                <w:b/>
                <w:color w:val="FFFFFF"/>
                <w:sz w:val="17"/>
              </w:rPr>
              <w:t>Flow</w:t>
            </w:r>
          </w:p>
        </w:tc>
      </w:tr>
      <w:tr>
        <w:tc>
          <w:tcPr>
            <w:tcW w:type="dxa" w:w="5184"/>
            <w:vAlign w:val="top"/>
          </w:tcPr>
          <w:p>
            <w:pPr>
              <w:jc w:val="left"/>
            </w:pPr>
            <w:r/>
            <w:r>
              <w:rPr>
                <w:b w:val="0"/>
                <w:sz w:val="17"/>
              </w:rPr>
              <w:t>First-time setup</w:t>
            </w:r>
          </w:p>
        </w:tc>
        <w:tc>
          <w:tcPr>
            <w:tcW w:type="dxa" w:w="5184"/>
            <w:vAlign w:val="top"/>
          </w:tcPr>
          <w:p>
            <w:pPr>
              <w:jc w:val="left"/>
            </w:pPr>
            <w:r/>
            <w:r>
              <w:rPr>
                <w:b w:val="0"/>
                <w:sz w:val="17"/>
              </w:rPr>
              <w:t>Login -&gt; Business profile -&gt; GST/PAN/Udyam -&gt; Bank/UPI -&gt; Invoice prefix -&gt; Chart of accounts -&gt; Dashboard.</w:t>
            </w:r>
          </w:p>
        </w:tc>
      </w:tr>
      <w:tr>
        <w:tc>
          <w:tcPr>
            <w:tcW w:type="dxa" w:w="5184"/>
            <w:vAlign w:val="top"/>
          </w:tcPr>
          <w:p>
            <w:pPr>
              <w:jc w:val="left"/>
            </w:pPr>
            <w:r/>
            <w:r>
              <w:rPr>
                <w:b w:val="0"/>
                <w:sz w:val="17"/>
              </w:rPr>
              <w:t>Customer collection</w:t>
            </w:r>
          </w:p>
        </w:tc>
        <w:tc>
          <w:tcPr>
            <w:tcW w:type="dxa" w:w="5184"/>
            <w:vAlign w:val="top"/>
          </w:tcPr>
          <w:p>
            <w:pPr>
              <w:jc w:val="left"/>
            </w:pPr>
            <w:r/>
            <w:r>
              <w:rPr>
                <w:b w:val="0"/>
                <w:sz w:val="17"/>
              </w:rPr>
              <w:t>Receive -&gt; Customer -&gt; Product/service -&gt; Full/partial -&gt; QR/payment link -&gt; Webhook -&gt; Invoice -&gt; Ledger -&gt; GST register.</w:t>
            </w:r>
          </w:p>
        </w:tc>
      </w:tr>
      <w:tr>
        <w:tc>
          <w:tcPr>
            <w:tcW w:type="dxa" w:w="5184"/>
            <w:vAlign w:val="top"/>
          </w:tcPr>
          <w:p>
            <w:pPr>
              <w:jc w:val="left"/>
            </w:pPr>
            <w:r/>
            <w:r>
              <w:rPr>
                <w:b w:val="0"/>
                <w:sz w:val="17"/>
              </w:rPr>
              <w:t>Vendor payment</w:t>
            </w:r>
          </w:p>
        </w:tc>
        <w:tc>
          <w:tcPr>
            <w:tcW w:type="dxa" w:w="5184"/>
            <w:vAlign w:val="top"/>
          </w:tcPr>
          <w:p>
            <w:pPr>
              <w:jc w:val="left"/>
            </w:pPr>
            <w:r/>
            <w:r>
              <w:rPr>
                <w:b w:val="0"/>
                <w:sz w:val="17"/>
              </w:rPr>
              <w:t>Pay -&gt; Vendor -&gt; Bill/purchase -&gt; OCR bank/UPI -&gt; Full/partial -&gt; Payout -&gt; Ledger -&gt; Purchase register -&gt; Payable schedule.</w:t>
            </w:r>
          </w:p>
        </w:tc>
      </w:tr>
      <w:tr>
        <w:tc>
          <w:tcPr>
            <w:tcW w:type="dxa" w:w="5184"/>
            <w:vAlign w:val="top"/>
          </w:tcPr>
          <w:p>
            <w:pPr>
              <w:jc w:val="left"/>
            </w:pPr>
            <w:r/>
            <w:r>
              <w:rPr>
                <w:b w:val="0"/>
                <w:sz w:val="17"/>
              </w:rPr>
              <w:t>Payroll run</w:t>
            </w:r>
          </w:p>
        </w:tc>
        <w:tc>
          <w:tcPr>
            <w:tcW w:type="dxa" w:w="5184"/>
            <w:vAlign w:val="top"/>
          </w:tcPr>
          <w:p>
            <w:pPr>
              <w:jc w:val="left"/>
            </w:pPr>
            <w:r/>
            <w:r>
              <w:rPr>
                <w:b w:val="0"/>
                <w:sz w:val="17"/>
              </w:rPr>
              <w:t>Pay -&gt; Employee -&gt; Salary month -&gt; LOP/deductions/incentives -&gt; Net pay -&gt; Approval -&gt; Payout -&gt; Payslip -&gt; Ledger.</w:t>
            </w:r>
          </w:p>
        </w:tc>
      </w:tr>
      <w:tr>
        <w:tc>
          <w:tcPr>
            <w:tcW w:type="dxa" w:w="5184"/>
            <w:vAlign w:val="top"/>
          </w:tcPr>
          <w:p>
            <w:pPr>
              <w:jc w:val="left"/>
            </w:pPr>
            <w:r/>
            <w:r>
              <w:rPr>
                <w:b w:val="0"/>
                <w:sz w:val="17"/>
              </w:rPr>
              <w:t>Month-end compliance</w:t>
            </w:r>
          </w:p>
        </w:tc>
        <w:tc>
          <w:tcPr>
            <w:tcW w:type="dxa" w:w="5184"/>
            <w:vAlign w:val="top"/>
          </w:tcPr>
          <w:p>
            <w:pPr>
              <w:jc w:val="left"/>
            </w:pPr>
            <w:r/>
            <w:r>
              <w:rPr>
                <w:b w:val="0"/>
                <w:sz w:val="17"/>
              </w:rPr>
              <w:t>Import bank -&gt; Reconcile -&gt; Resolve exceptions -&gt; Lock draft -&gt; Generate GST/payroll/P&amp;L pack -&gt; CA review -&gt; Export.</w:t>
            </w:r>
          </w:p>
        </w:tc>
      </w:tr>
      <w:tr>
        <w:tc>
          <w:tcPr>
            <w:tcW w:type="dxa" w:w="5184"/>
            <w:vAlign w:val="top"/>
          </w:tcPr>
          <w:p>
            <w:pPr>
              <w:jc w:val="left"/>
            </w:pPr>
            <w:r/>
            <w:r>
              <w:rPr>
                <w:b w:val="0"/>
                <w:sz w:val="17"/>
              </w:rPr>
              <w:t>Audit review</w:t>
            </w:r>
          </w:p>
        </w:tc>
        <w:tc>
          <w:tcPr>
            <w:tcW w:type="dxa" w:w="5184"/>
            <w:vAlign w:val="top"/>
          </w:tcPr>
          <w:p>
            <w:pPr>
              <w:jc w:val="left"/>
            </w:pPr>
            <w:r/>
            <w:r>
              <w:rPr>
                <w:b w:val="0"/>
                <w:sz w:val="17"/>
              </w:rPr>
              <w:t>Auditor/CA login -&gt; Exceptions -&gt; Evidence -&gt; Comments -&gt; Corrections -&gt; Approval -&gt; Sign-off pack.</w:t>
            </w:r>
          </w:p>
        </w:tc>
      </w:tr>
    </w:tbl>
    <w:p/>
    <w:p>
      <w:pPr>
        <w:pStyle w:val="Heading1"/>
      </w:pPr>
      <w:r>
        <w:t>7. Release Strategy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B3D91"/>
          </w:tcPr>
          <w:p>
            <w:pPr>
              <w:jc w:val="left"/>
            </w:pPr>
            <w:r/>
            <w:r>
              <w:rPr>
                <w:b/>
                <w:color w:val="FFFFFF"/>
                <w:sz w:val="17"/>
              </w:rPr>
              <w:t>Release</w:t>
            </w:r>
          </w:p>
        </w:tc>
        <w:tc>
          <w:tcPr>
            <w:tcW w:type="dxa" w:w="3456"/>
            <w:shd w:fill="0B3D91"/>
          </w:tcPr>
          <w:p>
            <w:pPr>
              <w:jc w:val="left"/>
            </w:pPr>
            <w:r/>
            <w:r>
              <w:rPr>
                <w:b/>
                <w:color w:val="FFFFFF"/>
                <w:sz w:val="17"/>
              </w:rPr>
              <w:t>Theme</w:t>
            </w:r>
          </w:p>
        </w:tc>
        <w:tc>
          <w:tcPr>
            <w:tcW w:type="dxa" w:w="3456"/>
            <w:shd w:fill="0B3D91"/>
          </w:tcPr>
          <w:p>
            <w:pPr>
              <w:jc w:val="left"/>
            </w:pPr>
            <w:r/>
            <w:r>
              <w:rPr>
                <w:b/>
                <w:color w:val="FFFFFF"/>
                <w:sz w:val="17"/>
              </w:rPr>
              <w:t>Must Have</w:t>
            </w:r>
          </w:p>
        </w:tc>
      </w:tr>
      <w:tr>
        <w:tc>
          <w:tcPr>
            <w:tcW w:type="dxa" w:w="3456"/>
            <w:vAlign w:val="top"/>
          </w:tcPr>
          <w:p>
            <w:pPr>
              <w:jc w:val="left"/>
            </w:pPr>
            <w:r/>
            <w:r>
              <w:rPr>
                <w:b w:val="0"/>
                <w:sz w:val="17"/>
              </w:rPr>
              <w:t>MVP 1</w:t>
            </w:r>
          </w:p>
        </w:tc>
        <w:tc>
          <w:tcPr>
            <w:tcW w:type="dxa" w:w="3456"/>
            <w:vAlign w:val="top"/>
          </w:tcPr>
          <w:p>
            <w:pPr>
              <w:jc w:val="left"/>
            </w:pPr>
            <w:r/>
            <w:r>
              <w:rPr>
                <w:b w:val="0"/>
                <w:sz w:val="17"/>
              </w:rPr>
              <w:t>Payments and ledgers</w:t>
            </w:r>
          </w:p>
        </w:tc>
        <w:tc>
          <w:tcPr>
            <w:tcW w:type="dxa" w:w="3456"/>
            <w:vAlign w:val="top"/>
          </w:tcPr>
          <w:p>
            <w:pPr>
              <w:jc w:val="left"/>
            </w:pPr>
            <w:r/>
            <w:r>
              <w:rPr>
                <w:b w:val="0"/>
                <w:sz w:val="17"/>
              </w:rPr>
              <w:t>Auth, business setup, customer/vendor/employee masters, Receive, Pay, invoice, basic ledger.</w:t>
            </w:r>
          </w:p>
        </w:tc>
      </w:tr>
      <w:tr>
        <w:tc>
          <w:tcPr>
            <w:tcW w:type="dxa" w:w="3456"/>
            <w:vAlign w:val="top"/>
          </w:tcPr>
          <w:p>
            <w:pPr>
              <w:jc w:val="left"/>
            </w:pPr>
            <w:r/>
            <w:r>
              <w:rPr>
                <w:b w:val="0"/>
                <w:sz w:val="17"/>
              </w:rPr>
              <w:t>MVP 2</w:t>
            </w:r>
          </w:p>
        </w:tc>
        <w:tc>
          <w:tcPr>
            <w:tcW w:type="dxa" w:w="3456"/>
            <w:vAlign w:val="top"/>
          </w:tcPr>
          <w:p>
            <w:pPr>
              <w:jc w:val="left"/>
            </w:pPr>
            <w:r/>
            <w:r>
              <w:rPr>
                <w:b w:val="0"/>
                <w:sz w:val="17"/>
              </w:rPr>
              <w:t>Accounting and compliance</w:t>
            </w:r>
          </w:p>
        </w:tc>
        <w:tc>
          <w:tcPr>
            <w:tcW w:type="dxa" w:w="3456"/>
            <w:vAlign w:val="top"/>
          </w:tcPr>
          <w:p>
            <w:pPr>
              <w:jc w:val="left"/>
            </w:pPr>
            <w:r/>
            <w:r>
              <w:rPr>
                <w:b w:val="0"/>
                <w:sz w:val="17"/>
              </w:rPr>
              <w:t>GST reports, payroll reports, trial balance, P&amp;L, balance sheet, bank import, reconciliation.</w:t>
            </w:r>
          </w:p>
        </w:tc>
      </w:tr>
      <w:tr>
        <w:tc>
          <w:tcPr>
            <w:tcW w:type="dxa" w:w="3456"/>
            <w:vAlign w:val="top"/>
          </w:tcPr>
          <w:p>
            <w:pPr>
              <w:jc w:val="left"/>
            </w:pPr>
            <w:r/>
            <w:r>
              <w:rPr>
                <w:b w:val="0"/>
                <w:sz w:val="17"/>
              </w:rPr>
              <w:t>MVP 3</w:t>
            </w:r>
          </w:p>
        </w:tc>
        <w:tc>
          <w:tcPr>
            <w:tcW w:type="dxa" w:w="3456"/>
            <w:vAlign w:val="top"/>
          </w:tcPr>
          <w:p>
            <w:pPr>
              <w:jc w:val="left"/>
            </w:pPr>
            <w:r/>
            <w:r>
              <w:rPr>
                <w:b w:val="0"/>
                <w:sz w:val="17"/>
              </w:rPr>
              <w:t>Audit and automation</w:t>
            </w:r>
          </w:p>
        </w:tc>
        <w:tc>
          <w:tcPr>
            <w:tcW w:type="dxa" w:w="3456"/>
            <w:vAlign w:val="top"/>
          </w:tcPr>
          <w:p>
            <w:pPr>
              <w:jc w:val="left"/>
            </w:pPr>
            <w:r/>
            <w:r>
              <w:rPr>
                <w:b w:val="0"/>
                <w:sz w:val="17"/>
              </w:rPr>
              <w:t>CA workspace, immutable audit logs, AI classification, anomaly detection, cashflow forecast.</w:t>
            </w:r>
          </w:p>
        </w:tc>
      </w:tr>
      <w:tr>
        <w:tc>
          <w:tcPr>
            <w:tcW w:type="dxa" w:w="3456"/>
            <w:vAlign w:val="top"/>
          </w:tcPr>
          <w:p>
            <w:pPr>
              <w:jc w:val="left"/>
            </w:pPr>
            <w:r/>
            <w:r>
              <w:rPr>
                <w:b w:val="0"/>
                <w:sz w:val="17"/>
              </w:rPr>
              <w:t>GA</w:t>
            </w:r>
          </w:p>
        </w:tc>
        <w:tc>
          <w:tcPr>
            <w:tcW w:type="dxa" w:w="3456"/>
            <w:vAlign w:val="top"/>
          </w:tcPr>
          <w:p>
            <w:pPr>
              <w:jc w:val="left"/>
            </w:pPr>
            <w:r/>
            <w:r>
              <w:rPr>
                <w:b w:val="0"/>
                <w:sz w:val="17"/>
              </w:rPr>
              <w:t>Production-grade scale</w:t>
            </w:r>
          </w:p>
        </w:tc>
        <w:tc>
          <w:tcPr>
            <w:tcW w:type="dxa" w:w="3456"/>
            <w:vAlign w:val="top"/>
          </w:tcPr>
          <w:p>
            <w:pPr>
              <w:jc w:val="left"/>
            </w:pPr>
            <w:r/>
            <w:r>
              <w:rPr>
                <w:b w:val="0"/>
                <w:sz w:val="17"/>
              </w:rPr>
              <w:t>Security hardening, SIEM, DR, load testing, app store release, support operations.</w:t>
            </w:r>
          </w:p>
        </w:tc>
      </w:tr>
    </w:tbl>
    <w:p/>
    <w:p>
      <w:pPr>
        <w:pStyle w:val="Heading1"/>
      </w:pPr>
      <w:r>
        <w:t>8. KPIs</w:t>
      </w:r>
    </w:p>
    <w:p>
      <w:pPr>
        <w:pStyle w:val="ListBullet"/>
      </w:pPr>
      <w:r>
        <w:t>Time to first transaction: under 5 minutes from signup.</w:t>
      </w:r>
    </w:p>
    <w:p>
      <w:pPr>
        <w:pStyle w:val="ListBullet"/>
      </w:pPr>
      <w:r>
        <w:t>QR generation: under 2 seconds under normal load.</w:t>
      </w:r>
    </w:p>
    <w:p>
      <w:pPr>
        <w:pStyle w:val="ListBullet"/>
      </w:pPr>
      <w:r>
        <w:t>Dashboard load: under 3 seconds for monthly summary.</w:t>
      </w:r>
    </w:p>
    <w:p>
      <w:pPr>
        <w:pStyle w:val="ListBullet"/>
      </w:pPr>
      <w:r>
        <w:t>Invoice dispatch: under 30 seconds after payment confirmation.</w:t>
      </w:r>
    </w:p>
    <w:p>
      <w:pPr>
        <w:pStyle w:val="ListBullet"/>
      </w:pPr>
      <w:r>
        <w:t>Reconciliation auto-match rate: above 75 percent after training period.</w:t>
      </w:r>
    </w:p>
    <w:p>
      <w:pPr>
        <w:pStyle w:val="ListBullet"/>
      </w:pPr>
      <w:r>
        <w:t>Critical compliance missing-field rate: below 2 percent before report export.</w:t>
      </w:r>
    </w:p>
    <w:p>
      <w:pPr>
        <w:pStyle w:val="ListBullet"/>
      </w:pPr>
      <w:r>
        <w:t>Critical/high security defects before launch: zero open.</w:t>
      </w:r>
    </w:p>
    <w:p>
      <w:pPr>
        <w:pStyle w:val="Heading1"/>
      </w:pPr>
      <w:r>
        <w:t>Regulatory and Reference Sources</w:t>
      </w:r>
    </w:p>
    <w:p>
      <w:r>
        <w:rPr>
          <w:b w:val="0"/>
          <w:i w:val="0"/>
        </w:rPr>
        <w:t>This document is a product and technology planning artifact. GST, payroll, income-tax, privacy, RBI, and payment rules must be revalidated by qualified legal, tax, and compliance experts before production release or filing automation.</w:t>
      </w:r>
    </w:p>
    <w:p>
      <w:pPr>
        <w:pStyle w:val="ListBullet"/>
      </w:pPr>
      <w:r>
        <w:rPr>
          <w:b/>
        </w:rPr>
        <w:t xml:space="preserve">GST QRMP and GSTR-1/GSTR-3B guidance: </w:t>
      </w:r>
      <w:r>
        <w:t>GST tutorial portal: https://tutorial.gst.gov.in/</w:t>
      </w:r>
    </w:p>
    <w:p>
      <w:pPr>
        <w:pStyle w:val="ListBullet"/>
      </w:pPr>
      <w:r>
        <w:rPr>
          <w:b/>
        </w:rPr>
        <w:t xml:space="preserve">GSTR-3B monthly filer due-date guidance: </w:t>
      </w:r>
      <w:r>
        <w:t>GST tutorial portal Form GSTR-3B FAQ: https://tutorial.gst.gov.in/userguide/returns/GSTR3B.htm</w:t>
      </w:r>
    </w:p>
    <w:p>
      <w:pPr>
        <w:pStyle w:val="ListBullet"/>
      </w:pPr>
      <w:r>
        <w:rPr>
          <w:b/>
        </w:rPr>
        <w:t xml:space="preserve">E-invoice threshold and IRP advisories: </w:t>
      </w:r>
      <w:r>
        <w:t>GST e-invoice portal: https://einvoice.gst.gov.in/</w:t>
      </w:r>
    </w:p>
    <w:p>
      <w:pPr>
        <w:pStyle w:val="ListBullet"/>
      </w:pPr>
      <w:r>
        <w:rPr>
          <w:b/>
        </w:rPr>
        <w:t xml:space="preserve">E-way bill value threshold: </w:t>
      </w:r>
      <w:r>
        <w:t>E-Way Bill system FAQ: https://ewaybillgst.gov.in/Staticpages/faq.aspx</w:t>
      </w:r>
    </w:p>
    <w:p>
      <w:pPr>
        <w:pStyle w:val="ListBullet"/>
      </w:pPr>
      <w:r>
        <w:rPr>
          <w:b/>
        </w:rPr>
        <w:t xml:space="preserve">RBI payment data storage localization: </w:t>
      </w:r>
      <w:r>
        <w:t>RBI FAQ on Storage of Payment System Data: https://www.rbi.org.in/commonman/english/scripts/FAQs.aspx?Id=2995</w:t>
      </w:r>
    </w:p>
    <w:p>
      <w:pPr>
        <w:pStyle w:val="ListBullet"/>
      </w:pPr>
      <w:r>
        <w:rPr>
          <w:b/>
        </w:rPr>
        <w:t xml:space="preserve">DPDP Rules 2025: </w:t>
      </w:r>
      <w:r>
        <w:t>MeitY DPDP Rules page: https://www.meity.gov.in/documents/act-and-policies/digital-personal-data-protection-rules-2025-gDOxUjMtQWa</w:t>
      </w:r>
    </w:p>
    <w:p>
      <w:pPr>
        <w:pStyle w:val="ListBullet"/>
      </w:pPr>
      <w:r>
        <w:rPr>
          <w:b/>
        </w:rPr>
        <w:t xml:space="preserve">ESIC contribution rates: </w:t>
      </w:r>
      <w:r>
        <w:t>ESIC contribution page: https://esic.gov.in/contribution</w:t>
      </w:r>
    </w:p>
    <w:p>
      <w:pPr>
        <w:pStyle w:val="ListBullet"/>
      </w:pPr>
      <w:r>
        <w:rPr>
          <w:b/>
        </w:rPr>
        <w:t xml:space="preserve">ITR applicability for business/profession AY 2026-27: </w:t>
      </w:r>
      <w:r>
        <w:t>Income Tax e-filing portal: https://www.incometax.gov.in/iec/foportal/help/individual-business-profession</w:t>
      </w:r>
    </w:p>
    <w:p>
      <w:pPr>
        <w:pStyle w:val="ListBullet"/>
      </w:pPr>
      <w:r>
        <w:rPr>
          <w:b/>
        </w:rPr>
        <w:t xml:space="preserve">ITR-4 presumptive taxation FAQ: </w:t>
      </w:r>
      <w:r>
        <w:t>Income Tax e-filing portal ITR-4 FAQ: https://www.incometax.gov.in/iec/foportal/help/e-filing-itr4-form-sugam-faq</w:t>
      </w:r>
    </w:p>
    <w:p>
      <w:pPr>
        <w:pStyle w:val="Heading2"/>
      </w:pPr>
      <w:r>
        <w:t>Uploaded Source Documents Used</w:t>
      </w:r>
    </w:p>
    <w:p>
      <w:pPr>
        <w:pStyle w:val="ListBullet"/>
      </w:pPr>
      <w:r>
        <w:t>PEB_Product_Flow_and_User_Stories.docx - Receive, Pay, Dashboard, Installments, Reminders, Cost vs Margin Dashboard.</w:t>
      </w:r>
    </w:p>
    <w:p>
      <w:pPr>
        <w:pStyle w:val="ListBullet"/>
      </w:pPr>
      <w:r>
        <w:t>PEB_FRD.docx - Functional requirements for Customer, Invoice, Payroll, Vendor, Installment, Reminder, Dashboard, and NFRs.</w:t>
      </w:r>
    </w:p>
    <w:p>
      <w:pPr>
        <w:pStyle w:val="ListBullet"/>
      </w:pPr>
      <w:r>
        <w:t>PEB_SDLC_and_Technical_Requirements.docx - Existing microservices, database, API, security, sprint, testing, and deployment baseline.</w:t>
      </w:r>
    </w:p>
    <w:p>
      <w:pPr>
        <w:pStyle w:val="ListBullet"/>
      </w:pPr>
      <w:r>
        <w:t>PayWithEase Guide 1.docx - Existing frontend screen flow covering Auth, Dashboard, Payments, Commitments, Installments, Reminders, Margin, Payables, Invoices, Payroll, OCR, Voice, Reports, Settings.</w:t>
      </w:r>
    </w:p>
    <w:p>
      <w:pPr>
        <w:pStyle w:val="ListBullet"/>
      </w:pPr>
      <w:r>
        <w:t>PayWithEase PayWithEase Frontend.docx - Existing sprint-based frontend plan.</w:t>
      </w:r>
    </w:p>
    <w:p>
      <w:pPr>
        <w:pStyle w:val="ListBullet"/>
      </w:pPr>
      <w:r>
        <w:t>PEB product.docx - Original feature concept for Receive, Pay, Installment Engine, Reminder, Cost vs Margin, OCR, Profit dashboards.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PayWithEase Business OS - MSME FinTech Documentation Pack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3D9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3D9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B3D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