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Functional Requirements Document</w:t>
      </w:r>
    </w:p>
    <w:p>
      <w:pPr>
        <w:jc w:val="center"/>
      </w:pPr>
      <w:r>
        <w:rPr>
          <w:i/>
          <w:color w:val="505050"/>
          <w:sz w:val="22"/>
        </w:rPr>
        <w:t>Detailed feature requirements, acceptance criteria, edge cases, and priorities.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1. Functional Requirement Principles</w:t>
      </w:r>
    </w:p>
    <w:p>
      <w:pPr>
        <w:pStyle w:val="ListBullet"/>
      </w:pPr>
      <w:r>
        <w:t>Every credit and debit must have a source, status, user/action, timestamp, and audit event.</w:t>
      </w:r>
    </w:p>
    <w:p>
      <w:pPr>
        <w:pStyle w:val="ListBullet"/>
      </w:pPr>
      <w:r>
        <w:t>Financial records must not be hard deleted; corrections must be reversals or adjustment entries.</w:t>
      </w:r>
    </w:p>
    <w:p>
      <w:pPr>
        <w:pStyle w:val="ListBullet"/>
      </w:pPr>
      <w:r>
        <w:t>Low-confidence OCR, AI classification, or reconciliation must require user confirmation.</w:t>
      </w:r>
    </w:p>
    <w:p>
      <w:pPr>
        <w:pStyle w:val="ListBullet"/>
      </w:pPr>
      <w:r>
        <w:t>Compliance exports must display missing fields, unreconciled entries, and month-lock status.</w:t>
      </w:r>
    </w:p>
    <w:p>
      <w:pPr>
        <w:pStyle w:val="ListBullet"/>
      </w:pPr>
      <w:r>
        <w:t>High-risk changes such as beneficiary update, large payout, month reopen, and tax adjustment must use maker-checker approval.</w:t>
      </w:r>
    </w:p>
    <w:p>
      <w:pPr>
        <w:pStyle w:val="Heading1"/>
      </w:pPr>
      <w:r>
        <w:t>FR-01 Auth, Tenant,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FR-01.1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 OTP and passkey login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 can authenticate using mobile OTP and optional passkey/device binding.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OTP valid for limited time; rate limit enforced; suspicious login is flagged.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FR-01.2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Role-based access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Owner, Cashier, Accountant, Auditor, CA, Employee roles are available.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Each role can access only permitted screens/actions.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FR-01.3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Device management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 can see logged-in devices and revoke sessions.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Revoked device cannot refresh token or access APIs.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FR-01.4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Tenant isolation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Each business tenant data is strictly separated.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Cross-tenant data access tests fail safely.</w:t>
            </w:r>
          </w:p>
        </w:tc>
      </w:tr>
    </w:tbl>
    <w:p/>
    <w:p>
      <w:pPr>
        <w:pStyle w:val="Heading1"/>
      </w:pPr>
      <w:r>
        <w:t>FR-02 Business and Compliance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FR-02.1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profile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Capture name, type, address, logo, PAN, GSTIN, Udyam, state, branch.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profile is mandatory before dashboard activation.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FR-02.2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setup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Configure GST registration, tax scheme, invoice prefix, HSN/SAC defaults.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fields appear only when relevant but remain auditable.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FR-02.3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Chart of accounts setup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default chart of accounts based on business type.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Owner/accountant can add or map accounts with audit trail.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FR-02.4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 calendar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due-date reminders for GST, TDS, PF, ESI, PT, advance tax.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Reminder schedule is visible and editable by authorized roles.</w:t>
            </w:r>
          </w:p>
        </w:tc>
      </w:tr>
    </w:tbl>
    <w:p/>
    <w:p>
      <w:pPr>
        <w:pStyle w:val="Heading1"/>
      </w:pPr>
      <w:r>
        <w:t>FR-03 Customer and Receive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FR-03.1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search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Search by mobile with real-time filtering.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match shows Create Customer option.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FR-03.2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customer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Capture name, mobile, email, GSTIN if B2B.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is saved and auto-selected.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FR-03.3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 item entry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Select product/service, qty, rate, discount, GST, cess if applicable.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Taxable value and tax split are displayed before payment.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FR-03.4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Full/partial payment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 chooses full or partial payment.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Partial payment triggers receivable installment schedule.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FR-03.5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UPI QR/payment link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exact-amount QR/link.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webhook posts transaction automatically and verifies signature.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FR-03.6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 dispatch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PDF invoice sent through SMS/WhatsApp/email as configured.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Delivery status is recorded in notification log.</w:t>
            </w:r>
          </w:p>
        </w:tc>
      </w:tr>
    </w:tbl>
    <w:p/>
    <w:p>
      <w:pPr>
        <w:pStyle w:val="Heading1"/>
      </w:pPr>
      <w:r>
        <w:t>FR-04 Vendor and Pay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FR-04.1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registration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Register vendor with name, mobile, GSTIN, bank/UPI details.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Bank/UPI details require confirmation and optional approval.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FR-04.2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 bank capture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Scan QR, cheque, account slip, or image to extract UPI/account/IFSC.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Confidence score shown; manual correction allowed.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FR-04.3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Purchase bill entry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Capture product, quantity, rate, tax, total, invoice number.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Duplicate vendor invoice numbers are flagged.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FR-04.4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payout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 full or partial amount through UPI/bank route.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High-value payout follows maker-checker approval.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FR-04.5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ledger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Show purchase value, paid amount, balance, aging, and evidence.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Ledger matches accounting postings and bank reconciliation.</w:t>
            </w:r>
          </w:p>
        </w:tc>
      </w:tr>
    </w:tbl>
    <w:p/>
    <w:p>
      <w:pPr>
        <w:pStyle w:val="Heading1"/>
      </w:pPr>
      <w:r>
        <w:t>FR-05 Payroll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FR-05.1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profile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Store salary, bank/UPI, PF/ESI/PT/TDS applicability.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Sensitive data encrypted at field level.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FR-05.2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Salary calculation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Compute gross, LOP, deductions, incentives, net payable.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Formula visible before approval.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FR-05.3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Payslip generation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PDF payslip with salary components and remarks.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Payslip delivered to employee and stored as evidence.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FR-05.4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Payroll compliance reports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PF, ESI, PT, salary register, and TDS workings.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Export includes month and employee-level breakdown.</w:t>
            </w:r>
          </w:p>
        </w:tc>
      </w:tr>
    </w:tbl>
    <w:p/>
    <w:p>
      <w:pPr>
        <w:pStyle w:val="Heading1"/>
      </w:pPr>
      <w:r>
        <w:t>FR-06 Accounting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FR-06.1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Double-entry posting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Each business event creates balanced accounting entries.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Debits equal credits before posting.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FR-06.2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Manual journal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Authorized accountant can create journal vouchers.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Approval required above risk thresholds.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FR-06.3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Ledger views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Show customer, vendor, bank, cash, sales, purchase, tax, salary ledgers.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Drill-down to source document and audit event.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FR-06.4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Month lock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Close a period after reconciliation.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Reopening requires reason, approval, and audit event.</w:t>
            </w:r>
          </w:p>
        </w:tc>
      </w:tr>
    </w:tbl>
    <w:p/>
    <w:p>
      <w:pPr>
        <w:pStyle w:val="Heading1"/>
      </w:pPr>
      <w:r>
        <w:t>FR-07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FR-07.1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 import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Import bank statement CSV/PDF/API feed.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Duplicates detected using amount/date/reference/hash.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FR-07.2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Auto-match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Match bank/UPI against invoice, vendor, payroll, tax, transfer.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Auto-match threshold configurable; low score remains exception.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FR-07.3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Exception queue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Show unmatched, duplicate, suspicious, and classification-conflict entries.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 can resolve with reason and audit trail.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FR-07.4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 report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matched/unmatched report by period and source.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 required before compliance pack export.</w:t>
            </w:r>
          </w:p>
        </w:tc>
      </w:tr>
    </w:tbl>
    <w:p/>
    <w:p>
      <w:pPr>
        <w:pStyle w:val="Heading1"/>
      </w:pPr>
      <w:r>
        <w:t>FR-08 GST and Tax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FR-08.1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Sales register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GST sales register with B2B/B2C, HSN/SAC, tax split.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Missing GST fields are flagged.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FR-08.2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Purchase register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purchase register with ITC eligibility fields.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Supplier GSTIN and invoice duplicate checks included.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FR-08.3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GSTR-1 pack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Prepare outward supplies report.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Export after validation and period lock warning.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FR-08.4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GSTR-3B summary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Prepare tax liability and ITC summary.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 exceptions shown before export.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FR-08.5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E-invoice/e-way readiness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required payload readiness checks.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Applicability controlled by turnover and transaction rules.</w:t>
            </w:r>
          </w:p>
        </w:tc>
      </w:tr>
    </w:tbl>
    <w:p/>
    <w:p>
      <w:pPr>
        <w:pStyle w:val="Heading1"/>
      </w:pPr>
      <w:r>
        <w:t>FR-09 Audit and CA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FR-09.1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Invite accountant/CA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 can invite professional users with scoped permissions.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 access can be revoked.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FR-09.2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 room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Attach invoices, bills, statements, screenshots, payslips.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 linked to transaction and immutable audit event.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FR-09.3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Exception comments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CA/auditor can comment on transactions and reports.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Comments are retained with user and timestamp.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FR-09.4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pack export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period-wise evidence, ledgers, exceptions, and sign-off pack.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Export is versioned and tamper-evident.</w:t>
            </w:r>
          </w:p>
        </w:tc>
      </w:tr>
    </w:tbl>
    <w:p/>
    <w:p>
      <w:pPr>
        <w:pStyle w:val="Heading1"/>
      </w:pPr>
      <w:r>
        <w:t>2. Edge Case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Handling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received but webhook delayed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Keep transaction in Pending Confirmation; poll gateway; reconcile bank later; avoid duplicate posting.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Duplicate UPI callback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Idempotency key prevents duplicate ledger and invoice events.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Partial payment with wrong amount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Show variance; allow user to revise schedule or mark as excess/short collection.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bank details changed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Require OTP/owner approval and cooling/risk flag before payout.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 low confidence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 not save silently; show extracted fields and confidence; require user confirmation.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Month already locked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direct edits; create reversal/correction request with approval.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GSTIN missing for B2B invoice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Flag compliance risk and prevent clean GSTR export until resolved or marked valid exception.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 statement imported twice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Detect duplicates by hash/reference/date/amount and quarantine duplicates.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Offline mobile transaction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Queue encrypted transaction locally, sync when online, resolve conflicts server-side.</w:t>
            </w:r>
          </w:p>
        </w:tc>
      </w:tr>
    </w:tbl>
    <w:p/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