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Technical Requirements Document</w:t>
      </w:r>
    </w:p>
    <w:p>
      <w:pPr>
        <w:jc w:val="center"/>
      </w:pPr>
      <w:r>
        <w:rPr>
          <w:i/>
          <w:color w:val="505050"/>
          <w:sz w:val="22"/>
        </w:rPr>
        <w:t>Java-first microservices, infrastructure, integrations, reliability, and observability requirements.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1. Architecture Mandate</w:t>
      </w:r>
    </w:p>
    <w:p>
      <w:r>
        <w:rPr>
          <w:b w:val="0"/>
          <w:i w:val="0"/>
        </w:rPr>
        <w:t>The backend must be microservices-based and primarily implemented in Java. The current PEB technical baseline already recommends independently deployable microservices for major domains; this TRD upgrades the backend from Node.js to Java 21 and Spring Boot 3.x while retaining cloud-native principles.</w:t>
      </w:r>
    </w:p>
    <w:p>
      <w:pPr>
        <w:pStyle w:val="Heading1"/>
      </w:pPr>
      <w:r>
        <w:t>2. Target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Backend language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Mandatory for core backend services.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Framework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Spring Boot 3.x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REST APIs, validation, actuator, security, batch jobs.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Cloud microservices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Spring Cloud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Gateway, config, service discovery or Kubernetes-native discovery.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gateway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Spring Cloud Gateway or Kong/Apigee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Auth enforcement, routing, throttling, request signing, WAF integration.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Keycloak or Spring Authorization Server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OAuth2/OIDC, RBAC, token rotation, device sessions.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Transactional DB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ACID data for financial records; database per service.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Ledger queries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jOOQ + PostgreSQL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Strong SQL control for accounting reports.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Message bus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Apache Kafka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Immutable financial event streaming and async processing.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Cache/idempotency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OTP, rate limits, idempotency keys, short-term locks.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Search/audit search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OpenSearch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log and document search.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ClickHouse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High-speed dashboards and period summaries.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Object storage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S3-compatible storage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Invoices, payslips, statements, OCR images, audit evidence.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Kubernetes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Autoscaling, rolling/blue-green deployments, service isolation.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OpenTelemetry, Prometheus, Grafana, Loki/ELK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Metrics, traces, logs, alerts.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React Native or Flutter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Encrypted local storage, offline queue, QR/camera/OCR, push notifications.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 panel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React + TypeScript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Accountant/CA/audit/admin workflows.</w:t>
            </w:r>
          </w:p>
        </w:tc>
      </w:tr>
    </w:tbl>
    <w:p/>
    <w:p>
      <w:pPr>
        <w:pStyle w:val="Heading1"/>
      </w:pPr>
      <w:r>
        <w:t>3. Service-Level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QR generation under 2 seconds; dashboard under 3 seconds for normal tenant data; webhook ack under 1 second after signature validation and event enqueue.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Target 99.9 percent for core APIs after GA; graceful degradation when payment gateway/SMS/OCR is unavailable.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Horizontal autoscaling for gateway, payment, ledger, notification, OCR, and analytics workers.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Consistency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Ledger posting must be strongly consistent within accounting service; cross-service workflows use saga and idempotent events.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 locality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data must be stored in India-compliant infrastructure for RBI-sensitive data.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Auditability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All financial actions produce immutable audit events and versioned documents.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Recoverability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Point-in-time recovery for PostgreSQL, backup encryption, DR runbooks, RPO/RTO targets.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TLS 1.3, mTLS service-to-service, field-level encryption, KMS, SIEM, SAST/DAST/SCA in CI/CD.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Consent, purpose limitation, retention, data export, deletion/anonymization where legally permissible.</w:t>
            </w:r>
          </w:p>
        </w:tc>
      </w:tr>
    </w:tbl>
    <w:p/>
    <w:p>
      <w:pPr>
        <w:pStyle w:val="Heading1"/>
      </w:pPr>
      <w:r>
        <w:t>4.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Integration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Gateway/UPI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QR, collection, payout, webhook confirmation.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Webhook signature verification, idempotency, gateway abstraction, failover provider.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SMS/WhatsApp/Email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Invoices, reminders, payslips, OTP.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Provider fallback, delivery log, consent/preference management.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OCR Provider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Extract bank, UPI, invoice, bill, cheque details.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Confidence score, user confirmation, image retention control.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Bank/Statement Import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Transaction monitoring and reconciliation.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Consent/import log, source hash, duplicate detection.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GST/E-invoice/E-way APIs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Readiness or authorized integration where available.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Legal/authorized integration review required before filing/submission.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CA/Accounting Export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Excel/PDF/JSON/Tally-like exports.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Versioned exports and audit metadata.</w:t>
            </w:r>
          </w:p>
        </w:tc>
      </w:tr>
    </w:tbl>
    <w:p/>
    <w:p>
      <w:pPr>
        <w:pStyle w:val="Heading1"/>
      </w:pPr>
      <w:r>
        <w:t>5. Core Technical Patterns</w:t>
      </w:r>
    </w:p>
    <w:p>
      <w:pPr>
        <w:pStyle w:val="ListBullet"/>
      </w:pPr>
      <w:r>
        <w:t>Database per service with explicit ownership; no direct cross-service table reads.</w:t>
      </w:r>
    </w:p>
    <w:p>
      <w:pPr>
        <w:pStyle w:val="ListBullet"/>
      </w:pPr>
      <w:r>
        <w:t>Synchronous APIs only for user-facing commands and queries; Kafka events for downstream accounting, analytics, notifications, and audit.</w:t>
      </w:r>
    </w:p>
    <w:p>
      <w:pPr>
        <w:pStyle w:val="ListBullet"/>
      </w:pPr>
      <w:r>
        <w:t>Outbox pattern for reliable event publishing after database commit.</w:t>
      </w:r>
    </w:p>
    <w:p>
      <w:pPr>
        <w:pStyle w:val="ListBullet"/>
      </w:pPr>
      <w:r>
        <w:t>Saga pattern for Receive, Pay, Payroll, Invoice, and Reconciliation flows.</w:t>
      </w:r>
    </w:p>
    <w:p>
      <w:pPr>
        <w:pStyle w:val="ListBullet"/>
      </w:pPr>
      <w:r>
        <w:t>Idempotency key required for payment, payout, invoice, webhook, salary run, and import APIs.</w:t>
      </w:r>
    </w:p>
    <w:p>
      <w:pPr>
        <w:pStyle w:val="ListBullet"/>
      </w:pPr>
      <w:r>
        <w:t>CQRS read models for dashboards and reports; source-of-truth remains the owning service.</w:t>
      </w:r>
    </w:p>
    <w:p>
      <w:pPr>
        <w:pStyle w:val="ListBullet"/>
      </w:pPr>
      <w:r>
        <w:t>Immutable audit event stream with tamper-evident hash chaining for high-risk events.</w:t>
      </w:r>
    </w:p>
    <w:p>
      <w:pPr>
        <w:pStyle w:val="ListBullet"/>
      </w:pPr>
      <w:r>
        <w:t>Feature flags for regulatory changes and phased rollout.</w:t>
      </w:r>
    </w:p>
    <w:p>
      <w:pPr>
        <w:pStyle w:val="Heading1"/>
      </w:pPr>
      <w:r>
        <w:t>6. Production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Controls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Developer work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Mock payment/OCR/SMS; test containers; no real PII.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Dev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Integration development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Synthetic data, nightly rebuild, CI deployed.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QA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Functional and regression testing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Stable APIs, controlled test data, automated suites.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Staging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 mirror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Masked data only; load/security testing; release sign-off.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Live users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Blue-green/canary release, SIEM, WAF, DR, backups, on-call.</w:t>
            </w:r>
          </w:p>
        </w:tc>
      </w:tr>
    </w:tbl>
    <w:p/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