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Java Microservices Architecture</w:t>
      </w:r>
    </w:p>
    <w:p>
      <w:pPr>
        <w:jc w:val="center"/>
      </w:pPr>
      <w:r>
        <w:rPr>
          <w:i/>
          <w:color w:val="505050"/>
          <w:sz w:val="22"/>
        </w:rPr>
        <w:t>Domain-driven service decomposition, event flows, ownership, and deployment blueprint.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Architecture Overview</w:t>
      </w:r>
    </w:p>
    <w:p>
      <w:r>
        <w:rPr>
          <w:b w:val="0"/>
          <w:i w:val="0"/>
        </w:rPr>
        <w:t>PayWithEase Business OS should use domain-driven microservices. Each service owns its database, publishes domain events, exposes APIs through the gateway, and avoids direct database access from other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Owned Data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Gateway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Request routing, auth enforcement, throttling, WAF integration, request correlation.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business data.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OTP, passkeys, sessions, roles, permissions, device registry.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users, roles, sessions, devices.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profile, branches, GST/PAN/Udyam, settings.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businesses, branches, compliance profiles.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records, customer ledger summaries, contact preferences.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customers, customer contacts.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records, bank/UPI details, vendor ledger summaries.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vendors, vendor bank accounts.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records, salary structures, payroll master data.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employees, salary structures.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Catalog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Products, services, HSN/SAC, tax rates, units.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items, tax mappings.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UPI QR/payment link, webhook processing, receipt states.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requests, gateway refs.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Vendor/employee payouts, beneficiary checks, payment status.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payouts, beneficiaries.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Tax invoice, bill of supply, PDF, credit/debit notes.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invoices, invoice items, tax lines.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 Ingestion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Bank/UPI/cash/imported transaction collection.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raw transactions, imports, source hashes.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 Ledger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Double-entry postings, journal vouchers, ledgers, month lock.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journal entries, ledgers, periods.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Compliance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Sales/purchase register, GSTR packs, e-invoice/e-way readiness.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return data, validation results.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 Compliance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PF, ESI, PT, TDS, salary registers.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 reports, statutory workings.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Auto-match bank/UPI/cash to accounting events.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matches, exceptions, rules.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Installment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Receivable/payable schedules and closures.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installment schedules, due dates.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Reminder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Reminder rules, escalation frequency, schedules.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reminder plans, schedules.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Notification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SMS, WhatsApp, email, push delivery.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notification logs, templates.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Bank/UPI/invoice/bill extraction.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extraction jobs, confidence scores.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PDFs, evidence, statement files.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 metadata, storage pointers.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Dashboards, KPIs, trends, cashflow.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 models in ClickHouse.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Immutable audit log and evidence trail.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events, hash chains.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Assist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Classification, anomaly, explanation, forecast suggestions.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models, suggestions, review 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Rules Service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Configurable rule engine for due dates and validations.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rule versions, applicability matrix.</w:t>
            </w:r>
          </w:p>
        </w:tc>
      </w:tr>
    </w:tbl>
    <w:p/>
    <w:p>
      <w:pPr>
        <w:pStyle w:val="Heading1"/>
      </w:pPr>
      <w:r>
        <w:t>2. Critical Flow: Customer Payment</w:t>
      </w:r>
    </w:p>
    <w:p>
      <w:pPr>
        <w:pStyle w:val="ListNumber"/>
      </w:pPr>
      <w:r>
        <w:t>Mobile app calls Customer Service to select or create customer.</w:t>
      </w:r>
    </w:p>
    <w:p>
      <w:pPr>
        <w:pStyle w:val="ListNumber"/>
      </w:pPr>
      <w:r>
        <w:t>Invoice Service creates draft invoice and tax lines.</w:t>
      </w:r>
    </w:p>
    <w:p>
      <w:pPr>
        <w:pStyle w:val="ListNumber"/>
      </w:pPr>
      <w:r>
        <w:t>Payment Collection Service generates UPI QR/payment link with idempotency key.</w:t>
      </w:r>
    </w:p>
    <w:p>
      <w:pPr>
        <w:pStyle w:val="ListNumber"/>
      </w:pPr>
      <w:r>
        <w:t>Gateway receives payment webhook, validates signature, and persists payment event.</w:t>
      </w:r>
    </w:p>
    <w:p>
      <w:pPr>
        <w:pStyle w:val="ListNumber"/>
      </w:pPr>
      <w:r>
        <w:t>PaymentReceived event is published to Kafka through outbox pattern.</w:t>
      </w:r>
    </w:p>
    <w:p>
      <w:pPr>
        <w:pStyle w:val="ListNumber"/>
      </w:pPr>
      <w:r>
        <w:t>Accounting Ledger Service posts bank/cash debit and customer/revenue/GST credit entries.</w:t>
      </w:r>
    </w:p>
    <w:p>
      <w:pPr>
        <w:pStyle w:val="ListNumber"/>
      </w:pPr>
      <w:r>
        <w:t>Invoice Service marks invoice paid/partial and generates PDF.</w:t>
      </w:r>
    </w:p>
    <w:p>
      <w:pPr>
        <w:pStyle w:val="ListNumber"/>
      </w:pPr>
      <w:r>
        <w:t>Notification Service sends invoice receipt through configured channels.</w:t>
      </w:r>
    </w:p>
    <w:p>
      <w:pPr>
        <w:pStyle w:val="ListNumber"/>
      </w:pPr>
      <w:r>
        <w:t>Installment Service creates schedule if payment is partial.</w:t>
      </w:r>
    </w:p>
    <w:p>
      <w:pPr>
        <w:pStyle w:val="ListNumber"/>
      </w:pPr>
      <w:r>
        <w:t>Analytics Service updates dashboard read models.</w:t>
      </w:r>
    </w:p>
    <w:p>
      <w:pPr>
        <w:pStyle w:val="Heading1"/>
      </w:pPr>
      <w:r>
        <w:t>3. Critical Flow: Vendor Payment</w:t>
      </w:r>
    </w:p>
    <w:p>
      <w:pPr>
        <w:pStyle w:val="ListNumber"/>
      </w:pPr>
      <w:r>
        <w:t>Vendor Service creates or fetches vendor.</w:t>
      </w:r>
    </w:p>
    <w:p>
      <w:pPr>
        <w:pStyle w:val="ListNumber"/>
      </w:pPr>
      <w:r>
        <w:t>OCR Service extracts bank/UPI details if needed; user confirms extracted values.</w:t>
      </w:r>
    </w:p>
    <w:p>
      <w:pPr>
        <w:pStyle w:val="ListNumber"/>
      </w:pPr>
      <w:r>
        <w:t>Invoice/Purchase module captures purchase bill and tax lines.</w:t>
      </w:r>
    </w:p>
    <w:p>
      <w:pPr>
        <w:pStyle w:val="ListNumber"/>
      </w:pPr>
      <w:r>
        <w:t>Payout Service validates beneficiary and payment approval rules.</w:t>
      </w:r>
    </w:p>
    <w:p>
      <w:pPr>
        <w:pStyle w:val="ListNumber"/>
      </w:pPr>
      <w:r>
        <w:t>Payout is initiated and event is published.</w:t>
      </w:r>
    </w:p>
    <w:p>
      <w:pPr>
        <w:pStyle w:val="ListNumber"/>
      </w:pPr>
      <w:r>
        <w:t>Accounting Ledger Service posts vendor payable/purchase/payment entries.</w:t>
      </w:r>
    </w:p>
    <w:p>
      <w:pPr>
        <w:pStyle w:val="ListNumber"/>
      </w:pPr>
      <w:r>
        <w:t>Reconciliation Service later matches bank debit with payout record.</w:t>
      </w:r>
    </w:p>
    <w:p>
      <w:pPr>
        <w:pStyle w:val="ListNumber"/>
      </w:pPr>
      <w:r>
        <w:t>Installment Service manages payable reminder if partial payment is selected.</w:t>
      </w:r>
    </w:p>
    <w:p>
      <w:pPr>
        <w:pStyle w:val="Heading1"/>
      </w:pPr>
      <w:r>
        <w:t>4. Communication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Mobile/Web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Gateway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REST/GraphQL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commands and queries.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Gateway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Microservices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REST/gRPC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Authenticated service access.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PaymentReceived, PaymentFailed, QRGenerated.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InvoiceCreated, InvoiceFinalized, CreditNoteIssued.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LedgerPosted, PeriodLocked, JournalAdjusted.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MatchCreated, ExceptionRaised.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Notification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 providers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HTTPS API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SMS, email, push, WhatsApp.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Kafka/CDC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Consumer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Read-model updates.</w:t>
            </w:r>
          </w:p>
        </w:tc>
      </w:tr>
    </w:tbl>
    <w:p/>
    <w:p>
      <w:pPr>
        <w:pStyle w:val="Heading1"/>
      </w:pPr>
      <w:r>
        <w:t>5. Deployment Topology</w:t>
      </w:r>
    </w:p>
    <w:p>
      <w:pPr>
        <w:pStyle w:val="ListBullet"/>
      </w:pPr>
      <w:r>
        <w:t>Kubernetes namespace per environment with network policies.</w:t>
      </w:r>
    </w:p>
    <w:p>
      <w:pPr>
        <w:pStyle w:val="ListBullet"/>
      </w:pPr>
      <w:r>
        <w:t>Separate pods/deployments per service with HPA based on CPU, memory, queue lag, and request latency.</w:t>
      </w:r>
    </w:p>
    <w:p>
      <w:pPr>
        <w:pStyle w:val="ListBullet"/>
      </w:pPr>
      <w:r>
        <w:t>Private PostgreSQL databases with no public internet access.</w:t>
      </w:r>
    </w:p>
    <w:p>
      <w:pPr>
        <w:pStyle w:val="ListBullet"/>
      </w:pPr>
      <w:r>
        <w:t>Kafka cluster inside private network; topic-level ACLs by service principal.</w:t>
      </w:r>
    </w:p>
    <w:p>
      <w:pPr>
        <w:pStyle w:val="ListBullet"/>
      </w:pPr>
      <w:r>
        <w:t>Secrets stored in cloud secret manager or Vault; no secrets in config maps or source code.</w:t>
      </w:r>
    </w:p>
    <w:p>
      <w:pPr>
        <w:pStyle w:val="ListBullet"/>
      </w:pPr>
      <w:r>
        <w:t>Ingress protected by WAF, API gateway, bot protection, and DDoS controls.</w:t>
      </w:r>
    </w:p>
    <w:p>
      <w:pPr>
        <w:pStyle w:val="ListBullet"/>
      </w:pPr>
      <w:r>
        <w:t>Blue-green or canary deployments with automatic rollback on health/error thresholds.</w:t>
      </w:r>
    </w:p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