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Security Privacy and Compliance Blueprint</w:t>
      </w:r>
    </w:p>
    <w:p>
      <w:pPr>
        <w:jc w:val="center"/>
      </w:pPr>
      <w:r>
        <w:rPr>
          <w:i/>
          <w:color w:val="505050"/>
          <w:sz w:val="22"/>
        </w:rPr>
        <w:t>Fintech-grade controls for Indian MSME payments, accounting, data privacy, and audit readiness.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Security Objective</w:t>
      </w:r>
    </w:p>
    <w:p>
      <w:r>
        <w:rPr>
          <w:b w:val="0"/>
          <w:i w:val="0"/>
        </w:rPr>
        <w:t>Security must be treated as a product feature. The app handles payment data, bank details, mobile numbers, invoices, payroll, tax reports, and business-sensitive financial records. Therefore, confidentiality, integrity, availability, auditability, privacy, and non-repudiation are mandatory.</w:t>
      </w:r>
    </w:p>
    <w:p>
      <w:pPr>
        <w:pStyle w:val="Heading1"/>
      </w:pPr>
      <w:r>
        <w:t>2. Regulatory and Compliance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Product Requirement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Implementation Control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RBI payment data storage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system data must be stored in India-compliant infrastructure.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India-region storage, payment data inventory, vendor contract controls, data flow map.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DPDP Act/Rules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Consent, notice, purpose limitation, retention, grievance, breach process.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Consent ledger, privacy notices, retention engine, data principal request workflow.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invoice, sales/purchase registers, GSTR-1/GSTR-3B preparation, ITC checks.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rules engine, field validation, report versioning, CA review before filing.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E-invoice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Turnover-based e-invoice readiness and IRP age restrictions.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Applicability engine, invoice payload readiness, reporting delay warning.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E-way bill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Movement of goods threshold and data readiness.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 rule checks for goods, value, place, transporter data.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PF, ESI, professional tax, salary TDS, payslip records.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Configurable statutory rates, state-specific PT, employee master validations.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Income Tax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ITR-ready business/profession summaries and presumptive-tax pack.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P&amp;L, balance sheet, cashflow, tax summary, CA export.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Immutable financial audit trail and evidence room.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Append-only events, hash chaining, maker-checker, period lock.</w:t>
            </w:r>
          </w:p>
        </w:tc>
      </w:tr>
    </w:tbl>
    <w:p/>
    <w:p>
      <w:pPr>
        <w:pStyle w:val="Heading1"/>
      </w:pPr>
      <w:r>
        <w:t>3.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Cross-tenant data access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 data breach.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Tenant ID isolation, authorization tests, row-level ownership checks, separate keys.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Stolen token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Unauthorized data/payment access.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Short-lived tokens, refresh rotation, device binding, revoke all sessions.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Webhook replay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Duplicate or fake payment posting.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Signature verification, timestamp tolerance, idempotency key, gateway reference uniqueness.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account tampering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Fraud payout.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Maker-checker, beneficiary cooling, OTP approval, anomaly alert.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SQL injection / input abuse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 compromise.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Parameterized queries, validation, WAF, SAST/DAST.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poisoning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Incorrect bank/account data.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Confidence score, manual confirmation, document type validation.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Compromised admin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Wide data impact.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Privileged access management, just-in-time access, audit log, dual control.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 outage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Business/payment disruption.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Graceful degradation, queue retry, provider failover, DR plan.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PII leakage in logs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Privacy and regulatory risk.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 redaction, structured logging policy, sensitive field denylist.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Malicious file upload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Malware or exploit.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Content-type validation, malware scanning, sandboxing, storage isolation.</w:t>
            </w:r>
          </w:p>
        </w:tc>
      </w:tr>
    </w:tbl>
    <w:p/>
    <w:p>
      <w:pPr>
        <w:pStyle w:val="Heading1"/>
      </w:pPr>
      <w:r>
        <w:t>4. Identity and Access Controls</w:t>
      </w:r>
    </w:p>
    <w:p>
      <w:pPr>
        <w:pStyle w:val="ListBullet"/>
      </w:pPr>
      <w:r>
        <w:t>Mobile OTP plus optional passkey and biometric unlock.</w:t>
      </w:r>
    </w:p>
    <w:p>
      <w:pPr>
        <w:pStyle w:val="ListBullet"/>
      </w:pPr>
      <w:r>
        <w:t>OAuth2/OIDC access tokens with short expiry and refresh token rotation.</w:t>
      </w:r>
    </w:p>
    <w:p>
      <w:pPr>
        <w:pStyle w:val="ListBullet"/>
      </w:pPr>
      <w:r>
        <w:t>Role-based and attribute-based access control for Owner, Cashier, Accountant, Auditor, CA, and Admin.</w:t>
      </w:r>
    </w:p>
    <w:p>
      <w:pPr>
        <w:pStyle w:val="ListBullet"/>
      </w:pPr>
      <w:r>
        <w:t>Device binding, session revocation, risky login alerts, and step-up authentication.</w:t>
      </w:r>
    </w:p>
    <w:p>
      <w:pPr>
        <w:pStyle w:val="ListBullet"/>
      </w:pPr>
      <w:r>
        <w:t>Maker-checker workflow for high-risk financial operations.</w:t>
      </w:r>
    </w:p>
    <w:p>
      <w:pPr>
        <w:pStyle w:val="ListBullet"/>
      </w:pPr>
      <w:r>
        <w:t>No shared admin accounts; privileged access is time-bound and audited.</w:t>
      </w:r>
    </w:p>
    <w:p>
      <w:pPr>
        <w:pStyle w:val="Heading1"/>
      </w:pPr>
      <w:r>
        <w:t>5. Data Protection Controls</w:t>
      </w:r>
    </w:p>
    <w:p>
      <w:pPr>
        <w:pStyle w:val="ListBullet"/>
      </w:pPr>
      <w:r>
        <w:t>TLS 1.3 for all external traffic and mTLS for service-to-service communication.</w:t>
      </w:r>
    </w:p>
    <w:p>
      <w:pPr>
        <w:pStyle w:val="ListBullet"/>
      </w:pPr>
      <w:r>
        <w:t>AES-256 encryption at rest with KMS-managed keys.</w:t>
      </w:r>
    </w:p>
    <w:p>
      <w:pPr>
        <w:pStyle w:val="ListBullet"/>
      </w:pPr>
      <w:r>
        <w:t>Field-level encryption/tokenization for PAN, bank account, UPI ID, mobile, payroll, and sensitive identifiers.</w:t>
      </w:r>
    </w:p>
    <w:p>
      <w:pPr>
        <w:pStyle w:val="ListBullet"/>
      </w:pPr>
      <w:r>
        <w:t>Per-tenant key separation for sensitive financial records where feasible.</w:t>
      </w:r>
    </w:p>
    <w:p>
      <w:pPr>
        <w:pStyle w:val="ListBullet"/>
      </w:pPr>
      <w:r>
        <w:t>Encrypted local storage on mobile for offline queue; automatic wipe on logout/device revoke.</w:t>
      </w:r>
    </w:p>
    <w:p>
      <w:pPr>
        <w:pStyle w:val="ListBullet"/>
      </w:pPr>
      <w:r>
        <w:t>Data retention policy by document type, transaction type, and statutory need.</w:t>
      </w:r>
    </w:p>
    <w:p>
      <w:pPr>
        <w:pStyle w:val="ListBullet"/>
      </w:pPr>
      <w:r>
        <w:t>Backup encryption, access logging, periodic restore testing.</w:t>
      </w:r>
    </w:p>
    <w:p>
      <w:pPr>
        <w:pStyle w:val="Heading1"/>
      </w:pPr>
      <w:r>
        <w:t>6. Payment Security Controls</w:t>
      </w:r>
    </w:p>
    <w:p>
      <w:pPr>
        <w:pStyle w:val="ListBullet"/>
      </w:pPr>
      <w:r>
        <w:t>App must not store card data or payment credentials directly.</w:t>
      </w:r>
    </w:p>
    <w:p>
      <w:pPr>
        <w:pStyle w:val="ListBullet"/>
      </w:pPr>
      <w:r>
        <w:t>UPI/payment gateway integrations must verify signatures and use idempotency keys.</w:t>
      </w:r>
    </w:p>
    <w:p>
      <w:pPr>
        <w:pStyle w:val="ListBullet"/>
      </w:pPr>
      <w:r>
        <w:t>Payment data should be stored in India-region systems according to RBI data localization expectations.</w:t>
      </w:r>
    </w:p>
    <w:p>
      <w:pPr>
        <w:pStyle w:val="ListBullet"/>
      </w:pPr>
      <w:r>
        <w:t>Every collection and payout must have a gateway reference, internal reference, status, timestamp, and reconciliation state.</w:t>
      </w:r>
    </w:p>
    <w:p>
      <w:pPr>
        <w:pStyle w:val="ListBullet"/>
      </w:pPr>
      <w:r>
        <w:t>Failed, reversed, duplicate, or delayed payments must stay in exception queue until resolved.</w:t>
      </w:r>
    </w:p>
    <w:p>
      <w:pPr>
        <w:pStyle w:val="Heading1"/>
      </w:pPr>
      <w:r>
        <w:t>7. Audit and Integrity Controls</w:t>
      </w:r>
    </w:p>
    <w:p>
      <w:pPr>
        <w:pStyle w:val="ListBullet"/>
      </w:pPr>
      <w:r>
        <w:t>No hard delete for financial transactions.</w:t>
      </w:r>
    </w:p>
    <w:p>
      <w:pPr>
        <w:pStyle w:val="ListBullet"/>
      </w:pPr>
      <w:r>
        <w:t>All edits create versioned records and audit events.</w:t>
      </w:r>
    </w:p>
    <w:p>
      <w:pPr>
        <w:pStyle w:val="ListBullet"/>
      </w:pPr>
      <w:r>
        <w:t>Month lock prevents silent period changes.</w:t>
      </w:r>
    </w:p>
    <w:p>
      <w:pPr>
        <w:pStyle w:val="ListBullet"/>
      </w:pPr>
      <w:r>
        <w:t>High-risk audit events use hash chaining or append-only storage.</w:t>
      </w:r>
    </w:p>
    <w:p>
      <w:pPr>
        <w:pStyle w:val="ListBullet"/>
      </w:pPr>
      <w:r>
        <w:t>Report exports are versioned with generated-by, reviewed-by, timestamp, source period, and exception count.</w:t>
      </w:r>
    </w:p>
    <w:p>
      <w:pPr>
        <w:pStyle w:val="ListBullet"/>
      </w:pPr>
      <w:r>
        <w:t>All compliance reports should show unresolved exceptions before export.</w:t>
      </w:r>
    </w:p>
    <w:p>
      <w:pPr>
        <w:pStyle w:val="Heading1"/>
      </w:pPr>
      <w:r>
        <w:t>8. Security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Minimum Requirement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Every pull request for Java, TypeScript, mobile code.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Dependency vulnerability check with fail gates for critical/high issues.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OWASP Top 10 coverage on staging.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security tests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 bypass, tenant bypass, replay, rate limit, input abuse.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 test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Before production launch and major payment/compliance release.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Load test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Simulate payment spikes, webhook bursts, dashboard queries, OCR jobs.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 test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Backup restore and failover drill before GA.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Privacy audit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PII inventory, consent trail, retention, deletion/export workflow.</w:t>
            </w:r>
          </w:p>
        </w:tc>
      </w:tr>
    </w:tbl>
    <w:p/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