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Data API and Event Blueprint</w:t>
      </w:r>
    </w:p>
    <w:p>
      <w:pPr>
        <w:jc w:val="center"/>
      </w:pPr>
      <w:r>
        <w:rPr>
          <w:i/>
          <w:color w:val="505050"/>
          <w:sz w:val="22"/>
        </w:rPr>
        <w:t>Core data model, APIs, event contracts, idempotency, and reconciliation foundations.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Data Model Principles</w:t>
      </w:r>
    </w:p>
    <w:p>
      <w:pPr>
        <w:pStyle w:val="ListBullet"/>
      </w:pPr>
      <w:r>
        <w:t>Each microservice owns its database and exposes APIs/events instead of direct table access.</w:t>
      </w:r>
    </w:p>
    <w:p>
      <w:pPr>
        <w:pStyle w:val="ListBullet"/>
      </w:pPr>
      <w:r>
        <w:t>All financial records include tenant_id, source, status, created_by, created_at, updated_at, audit_event_id, and version.</w:t>
      </w:r>
    </w:p>
    <w:p>
      <w:pPr>
        <w:pStyle w:val="ListBullet"/>
      </w:pPr>
      <w:r>
        <w:t>Sensitive fields are encrypted or tokenized at field level.</w:t>
      </w:r>
    </w:p>
    <w:p>
      <w:pPr>
        <w:pStyle w:val="ListBullet"/>
      </w:pPr>
      <w:r>
        <w:t>Monetary values use integer paise or decimal with fixed scale; never floating point.</w:t>
      </w:r>
    </w:p>
    <w:p>
      <w:pPr>
        <w:pStyle w:val="ListBullet"/>
      </w:pPr>
      <w:r>
        <w:t>Every business transaction links to source document, ledger entry, reconciliation state, and evidence where applicable.</w:t>
      </w:r>
    </w:p>
    <w:p>
      <w:pPr>
        <w:pStyle w:val="ListBullet"/>
      </w:pPr>
      <w:r>
        <w:t>Soft-delete is allowed only for non-financial drafts; posted financial entries use reversal/correction.</w:t>
      </w:r>
    </w:p>
    <w:p>
      <w:pPr>
        <w:pStyle w:val="Heading1"/>
      </w:pPr>
      <w:r>
        <w:t>2. Core Entity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Tables/Entities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businesses, branches, business_settings, compliance_profiles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Business, GST, PAN, Udyam, state, invoice rules.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users, roles, permissions, sessions, devices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access and authentication state.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Master data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customers, vendors, employees, items, hsn_sac, tax_rates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Operational masters.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payment_requests, qr_codes, payment_webhooks, payout_orders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Collections and payouts.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invoices, invoice_items, tax_lines, credit_notes, debit_notes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GST-ready sales documents.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purchase_bills, purchase_items, vendor_payments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bills and payments.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salary_structures, salary_runs, salary_components, payslips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 and statutory workings.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chart_of_accounts, journal_entries, journal_lines, ledger_balances, financial_periods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Double-entry source of truth.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bank_transactions, imports, reconciliation_matches, exceptions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Bank/UPI/cash matching.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gst_periods, gstr1_records, gstr3b_summaries, payroll_reports, tax_reports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 preparation and validation.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documents, document_links, evidence_sets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PDFs, receipts, bills, statements.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audit_events, approval_workflows, approval_steps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Immutable event and approval history.</w:t>
            </w:r>
          </w:p>
        </w:tc>
      </w:tr>
    </w:tbl>
    <w:p/>
    <w:p>
      <w:pPr>
        <w:pStyle w:val="Heading1"/>
      </w:pPr>
      <w:r>
        <w:t>3. Sample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/auth/otp/send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Send OTP.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/auth/otp/verify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Verify OTP and create session.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/businesses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business profile.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/customers?mobile=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customer by mobile.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/customers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customer.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/invoices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invoice draft/final.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/payment-requests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payment request and QR/link.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/webhooks/payments/{provider}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and validate gateway webhook.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/vendors/{id}/bills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Vendor/Purchase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vendor purchase bill.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/payouts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vendor/employee payout.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/salary-runs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Process salary run.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/journal-entries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manual journal.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/ledgers/{accountId}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 account ledger.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/bank-imports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 Ingestion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 statement.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/reconciliations/run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Run matching engine.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/reports/gst/gstr1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Compliance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GSTR-1 preparation report.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/reports/financials/pnl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Analytics/Accounting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P&amp;L.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/approvals/{id}/approve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Audit/Approval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 high-risk action.</w:t>
            </w:r>
          </w:p>
        </w:tc>
      </w:tr>
    </w:tbl>
    <w:p/>
    <w:p>
      <w:pPr>
        <w:pStyle w:val="Heading1"/>
      </w:pPr>
      <w:r>
        <w:t>4.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Consumers</w:t>
            </w:r>
          </w:p>
        </w:tc>
        <w:tc>
          <w:tcPr>
            <w:tcW w:type="dxa" w:w="2592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BusinessCreated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Identity, Audit, 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Initialize tenant.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CustomerCreated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Audit, 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Track master data creation.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InvoiceFinalized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Payment, Accounting, GST, Document,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collection and accounting context.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PaymentQRGenerated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Audit, 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Trace payment request.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PaymentReceived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Invoice, Accounting, Installment, Notification, 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receipt and update invoice/installment.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PaymentFailed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Collection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Notification,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Notify and retain failed payment.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VendorBillBooked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Vendor/Purchase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Accounting, GST,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purchase and tax entries.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PayoutInitiated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Audit, Reconciliation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Track outgoing payment.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PayoutCompleted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Accounting, Vendor, Payroll, Analytics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debit and mark payable/salary paid.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SalaryRunApproved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Payout, Accounting, Document,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Trigger payout and payslip.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LedgerEntryPosted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Analytics, Audit, Compliance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Update financial reports.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BankStatementImported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Ingestion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 matching process.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ReconciliationExceptionRaised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Dashboard, Audit, Accountant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resolution workflow.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GSTReportGenerated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Compliance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Audit, Document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Version compliance report.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PeriodLocked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services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Prevent silent edits to closed period.</w:t>
            </w:r>
          </w:p>
        </w:tc>
      </w:tr>
    </w:tbl>
    <w:p/>
    <w:p>
      <w:pPr>
        <w:pStyle w:val="Heading1"/>
      </w:pPr>
      <w:r>
        <w:t>5. Idempotency Rules</w:t>
      </w:r>
    </w:p>
    <w:p>
      <w:pPr>
        <w:pStyle w:val="ListBullet"/>
      </w:pPr>
      <w:r>
        <w:t>All POST endpoints that create financial side effects require Idempotency-Key header.</w:t>
      </w:r>
    </w:p>
    <w:p>
      <w:pPr>
        <w:pStyle w:val="ListBullet"/>
      </w:pPr>
      <w:r>
        <w:t>Webhook processing uses provider_payment_id plus tenant plus amount plus timestamp tolerance.</w:t>
      </w:r>
    </w:p>
    <w:p>
      <w:pPr>
        <w:pStyle w:val="ListBullet"/>
      </w:pPr>
      <w:r>
        <w:t>Invoice number uniqueness is enforced per business financial year and invoice type.</w:t>
      </w:r>
    </w:p>
    <w:p>
      <w:pPr>
        <w:pStyle w:val="ListBullet"/>
      </w:pPr>
      <w:r>
        <w:t>Salary run uniqueness is enforced by business, employee, month, and year.</w:t>
      </w:r>
    </w:p>
    <w:p>
      <w:pPr>
        <w:pStyle w:val="ListBullet"/>
      </w:pPr>
      <w:r>
        <w:t>Bank import lines are fingerprinted by statement ID, date, amount, narration, reference, and balance where available.</w:t>
      </w:r>
    </w:p>
    <w:p>
      <w:pPr>
        <w:pStyle w:val="ListBullet"/>
      </w:pPr>
      <w:r>
        <w:t>Duplicate attempts return the original result, not a second financial posting.</w:t>
      </w:r>
    </w:p>
    <w:p>
      <w:pPr>
        <w:pStyle w:val="Heading1"/>
      </w:pPr>
      <w:r>
        <w:t>6. Accounting Posting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Debit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Credit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finalized before payment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Receivable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 Revenue + Output GST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received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Bank/UPI Clearing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Receivable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 sale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 Revenue + Output GST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purchase booked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Purchase Expense/Inventory + Input GST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Payable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Payable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 accrued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 Expense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Payable + Statutory Payables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Salary paid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Payable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paid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Payable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Owner drawing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Drawings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Bank/Cash</w:t>
            </w:r>
          </w:p>
        </w:tc>
      </w:tr>
    </w:tbl>
    <w:p/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