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63C1"/>
          <w:sz w:val="24"/>
        </w:rPr>
        <w:t>PAYWITHEASE BUSINESS OS</w:t>
      </w:r>
    </w:p>
    <w:p>
      <w:pPr>
        <w:jc w:val="center"/>
      </w:pPr>
      <w:r>
        <w:rPr>
          <w:b/>
          <w:color w:val="0B3D91"/>
          <w:sz w:val="44"/>
        </w:rPr>
        <w:t>AI Automation and Algorithms Blueprint</w:t>
      </w:r>
    </w:p>
    <w:p>
      <w:pPr>
        <w:jc w:val="center"/>
      </w:pPr>
      <w:r>
        <w:rPr>
          <w:i/>
          <w:color w:val="505050"/>
          <w:sz w:val="22"/>
        </w:rPr>
        <w:t>Human-approved intelligence for classification, reconciliation, OCR, anomaly detection, cashflow, reminders, and compliance.</w:t>
      </w:r>
    </w:p>
    <w:p/>
    <w:tbl>
      <w:tblPr>
        <w:tblW w:type="auto" w:w="0"/>
        <w:jc w:val="center"/>
        <w:tblLook w:firstColumn="1" w:firstRow="1" w:lastColumn="0" w:lastRow="0" w:noHBand="0" w:noVBand="1" w:val="04A0"/>
      </w:tblPr>
      <w:tblGrid>
        <w:gridCol w:w="5184"/>
        <w:gridCol w:w="5184"/>
      </w:tblGrid>
      <w:tr>
        <w:tc>
          <w:tcPr>
            <w:tcW w:type="dxa" w:w="5184"/>
            <w:shd w:fill="EAF2F8"/>
          </w:tcPr>
          <w:p>
            <w:pPr>
              <w:jc w:val="left"/>
            </w:pPr>
            <w:r/>
            <w:r>
              <w:rPr>
                <w:b/>
                <w:sz w:val="17"/>
              </w:rPr>
              <w:t>Version</w:t>
            </w:r>
          </w:p>
        </w:tc>
        <w:tc>
          <w:tcPr>
            <w:tcW w:type="dxa" w:w="5184"/>
          </w:tcPr>
          <w:p>
            <w:pPr>
              <w:jc w:val="left"/>
            </w:pPr>
            <w:r/>
            <w:r>
              <w:rPr>
                <w:b w:val="0"/>
                <w:sz w:val="17"/>
              </w:rPr>
              <w:t>1.0 - July 2026</w:t>
            </w:r>
          </w:p>
        </w:tc>
      </w:tr>
      <w:tr>
        <w:tc>
          <w:tcPr>
            <w:tcW w:type="dxa" w:w="5184"/>
            <w:shd w:fill="EAF2F8"/>
          </w:tcPr>
          <w:p>
            <w:pPr>
              <w:jc w:val="left"/>
            </w:pPr>
            <w:r/>
            <w:r>
              <w:rPr>
                <w:b/>
                <w:sz w:val="17"/>
              </w:rPr>
              <w:t>Prepared For</w:t>
            </w:r>
          </w:p>
        </w:tc>
        <w:tc>
          <w:tcPr>
            <w:tcW w:type="dxa" w:w="5184"/>
          </w:tcPr>
          <w:p>
            <w:pPr>
              <w:jc w:val="left"/>
            </w:pPr>
            <w:r/>
            <w:r>
              <w:rPr>
                <w:b w:val="0"/>
                <w:sz w:val="17"/>
              </w:rPr>
              <w:t>PayWithEase / PEB MSME FinTech App</w:t>
            </w:r>
          </w:p>
        </w:tc>
      </w:tr>
      <w:tr>
        <w:tc>
          <w:tcPr>
            <w:tcW w:type="dxa" w:w="5184"/>
            <w:shd w:fill="EAF2F8"/>
          </w:tcPr>
          <w:p>
            <w:pPr>
              <w:jc w:val="left"/>
            </w:pPr>
            <w:r/>
            <w:r>
              <w:rPr>
                <w:b/>
                <w:sz w:val="17"/>
              </w:rPr>
              <w:t>Architecture Direction</w:t>
            </w:r>
          </w:p>
        </w:tc>
        <w:tc>
          <w:tcPr>
            <w:tcW w:type="dxa" w:w="5184"/>
          </w:tcPr>
          <w:p>
            <w:pPr>
              <w:jc w:val="left"/>
            </w:pPr>
            <w:r/>
            <w:r>
              <w:rPr>
                <w:b w:val="0"/>
                <w:sz w:val="17"/>
              </w:rPr>
              <w:t>Java 21 + Spring Boot 3.x + Microservices</w:t>
            </w:r>
          </w:p>
        </w:tc>
      </w:tr>
      <w:tr>
        <w:tc>
          <w:tcPr>
            <w:tcW w:type="dxa" w:w="5184"/>
            <w:shd w:fill="EAF2F8"/>
          </w:tcPr>
          <w:p>
            <w:pPr>
              <w:jc w:val="left"/>
            </w:pPr>
            <w:r/>
            <w:r>
              <w:rPr>
                <w:b/>
                <w:sz w:val="17"/>
              </w:rPr>
              <w:t>Primary Market</w:t>
            </w:r>
          </w:p>
        </w:tc>
        <w:tc>
          <w:tcPr>
            <w:tcW w:type="dxa" w:w="5184"/>
          </w:tcPr>
          <w:p>
            <w:pPr>
              <w:jc w:val="left"/>
            </w:pPr>
            <w:r/>
            <w:r>
              <w:rPr>
                <w:b w:val="0"/>
                <w:sz w:val="17"/>
              </w:rPr>
              <w:t>Indian MSMEs, proprietors, traders, service firms, training institutes, and small companies</w:t>
            </w:r>
          </w:p>
        </w:tc>
      </w:tr>
      <w:tr>
        <w:tc>
          <w:tcPr>
            <w:tcW w:type="dxa" w:w="5184"/>
            <w:shd w:fill="EAF2F8"/>
          </w:tcPr>
          <w:p>
            <w:pPr>
              <w:jc w:val="left"/>
            </w:pPr>
            <w:r/>
            <w:r>
              <w:rPr>
                <w:b/>
                <w:sz w:val="17"/>
              </w:rPr>
              <w:t>Document Status</w:t>
            </w:r>
          </w:p>
        </w:tc>
        <w:tc>
          <w:tcPr>
            <w:tcW w:type="dxa" w:w="5184"/>
          </w:tcPr>
          <w:p>
            <w:pPr>
              <w:jc w:val="left"/>
            </w:pPr>
            <w:r/>
            <w:r>
              <w:rPr>
                <w:b w:val="0"/>
                <w:sz w:val="17"/>
              </w:rPr>
              <w:t>Production-ready planning blueprint; requires legal/CA review before statutory filing integration</w:t>
            </w:r>
          </w:p>
        </w:tc>
      </w:tr>
    </w:tbl>
    <w:p>
      <w:r>
        <w:br w:type="page"/>
      </w:r>
    </w:p>
    <w:p>
      <w:pPr>
        <w:pStyle w:val="Heading1"/>
      </w:pPr>
      <w:r>
        <w:t>1. Automation Philosophy</w:t>
      </w:r>
    </w:p>
    <w:p>
      <w:r>
        <w:rPr>
          <w:b w:val="0"/>
          <w:i w:val="0"/>
        </w:rPr>
        <w:t>AI must assist, not silently decide. For financial, payroll, tax, audit, and compliance workflows, the system should provide suggestions with confidence scores, explanations, and approval controls. User confirmation is mandatory for low-confidence, high-value, compliance-impacting, or beneficiary-changing decisions.</w:t>
      </w:r>
    </w:p>
    <w:p>
      <w:pPr>
        <w:pStyle w:val="Heading1"/>
      </w:pPr>
      <w:r>
        <w:t>2. Transaction Classification Engine</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Input</w:t>
            </w:r>
          </w:p>
        </w:tc>
        <w:tc>
          <w:tcPr>
            <w:tcW w:type="dxa" w:w="5184"/>
            <w:shd w:fill="0B3D91"/>
          </w:tcPr>
          <w:p>
            <w:pPr>
              <w:jc w:val="left"/>
            </w:pPr>
            <w:r/>
            <w:r>
              <w:rPr>
                <w:b/>
                <w:color w:val="FFFFFF"/>
                <w:sz w:val="17"/>
              </w:rPr>
              <w:t>Examples</w:t>
            </w:r>
          </w:p>
        </w:tc>
      </w:tr>
      <w:tr>
        <w:tc>
          <w:tcPr>
            <w:tcW w:type="dxa" w:w="5184"/>
            <w:vAlign w:val="top"/>
          </w:tcPr>
          <w:p>
            <w:pPr>
              <w:jc w:val="left"/>
            </w:pPr>
            <w:r/>
            <w:r>
              <w:rPr>
                <w:b w:val="0"/>
                <w:sz w:val="17"/>
              </w:rPr>
              <w:t>Narration/reference</w:t>
            </w:r>
          </w:p>
        </w:tc>
        <w:tc>
          <w:tcPr>
            <w:tcW w:type="dxa" w:w="5184"/>
            <w:vAlign w:val="top"/>
          </w:tcPr>
          <w:p>
            <w:pPr>
              <w:jc w:val="left"/>
            </w:pPr>
            <w:r/>
            <w:r>
              <w:rPr>
                <w:b w:val="0"/>
                <w:sz w:val="17"/>
              </w:rPr>
              <w:t>UPI handle, NEFT ref, bank narration, gateway settlement ID.</w:t>
            </w:r>
          </w:p>
        </w:tc>
      </w:tr>
      <w:tr>
        <w:tc>
          <w:tcPr>
            <w:tcW w:type="dxa" w:w="5184"/>
            <w:vAlign w:val="top"/>
          </w:tcPr>
          <w:p>
            <w:pPr>
              <w:jc w:val="left"/>
            </w:pPr>
            <w:r/>
            <w:r>
              <w:rPr>
                <w:b w:val="0"/>
                <w:sz w:val="17"/>
              </w:rPr>
              <w:t>Amount and direction</w:t>
            </w:r>
          </w:p>
        </w:tc>
        <w:tc>
          <w:tcPr>
            <w:tcW w:type="dxa" w:w="5184"/>
            <w:vAlign w:val="top"/>
          </w:tcPr>
          <w:p>
            <w:pPr>
              <w:jc w:val="left"/>
            </w:pPr>
            <w:r/>
            <w:r>
              <w:rPr>
                <w:b w:val="0"/>
                <w:sz w:val="17"/>
              </w:rPr>
              <w:t>Credit/debit, refund, reversal, tax payment.</w:t>
            </w:r>
          </w:p>
        </w:tc>
      </w:tr>
      <w:tr>
        <w:tc>
          <w:tcPr>
            <w:tcW w:type="dxa" w:w="5184"/>
            <w:vAlign w:val="top"/>
          </w:tcPr>
          <w:p>
            <w:pPr>
              <w:jc w:val="left"/>
            </w:pPr>
            <w:r/>
            <w:r>
              <w:rPr>
                <w:b w:val="0"/>
                <w:sz w:val="17"/>
              </w:rPr>
              <w:t>Counterparty</w:t>
            </w:r>
          </w:p>
        </w:tc>
        <w:tc>
          <w:tcPr>
            <w:tcW w:type="dxa" w:w="5184"/>
            <w:vAlign w:val="top"/>
          </w:tcPr>
          <w:p>
            <w:pPr>
              <w:jc w:val="left"/>
            </w:pPr>
            <w:r/>
            <w:r>
              <w:rPr>
                <w:b w:val="0"/>
                <w:sz w:val="17"/>
              </w:rPr>
              <w:t>Customer, vendor, employee, government, bank, owner.</w:t>
            </w:r>
          </w:p>
        </w:tc>
      </w:tr>
      <w:tr>
        <w:tc>
          <w:tcPr>
            <w:tcW w:type="dxa" w:w="5184"/>
            <w:vAlign w:val="top"/>
          </w:tcPr>
          <w:p>
            <w:pPr>
              <w:jc w:val="left"/>
            </w:pPr>
            <w:r/>
            <w:r>
              <w:rPr>
                <w:b w:val="0"/>
                <w:sz w:val="17"/>
              </w:rPr>
              <w:t>Historical pattern</w:t>
            </w:r>
          </w:p>
        </w:tc>
        <w:tc>
          <w:tcPr>
            <w:tcW w:type="dxa" w:w="5184"/>
            <w:vAlign w:val="top"/>
          </w:tcPr>
          <w:p>
            <w:pPr>
              <w:jc w:val="left"/>
            </w:pPr>
            <w:r/>
            <w:r>
              <w:rPr>
                <w:b w:val="0"/>
                <w:sz w:val="17"/>
              </w:rPr>
              <w:t>Recurring vendor, salary date, rent, utility.</w:t>
            </w:r>
          </w:p>
        </w:tc>
      </w:tr>
      <w:tr>
        <w:tc>
          <w:tcPr>
            <w:tcW w:type="dxa" w:w="5184"/>
            <w:vAlign w:val="top"/>
          </w:tcPr>
          <w:p>
            <w:pPr>
              <w:jc w:val="left"/>
            </w:pPr>
            <w:r/>
            <w:r>
              <w:rPr>
                <w:b w:val="0"/>
                <w:sz w:val="17"/>
              </w:rPr>
              <w:t>Linked documents</w:t>
            </w:r>
          </w:p>
        </w:tc>
        <w:tc>
          <w:tcPr>
            <w:tcW w:type="dxa" w:w="5184"/>
            <w:vAlign w:val="top"/>
          </w:tcPr>
          <w:p>
            <w:pPr>
              <w:jc w:val="left"/>
            </w:pPr>
            <w:r/>
            <w:r>
              <w:rPr>
                <w:b w:val="0"/>
                <w:sz w:val="17"/>
              </w:rPr>
              <w:t>Invoice, purchase bill, payslip, tax challan.</w:t>
            </w:r>
          </w:p>
        </w:tc>
      </w:tr>
      <w:tr>
        <w:tc>
          <w:tcPr>
            <w:tcW w:type="dxa" w:w="5184"/>
            <w:vAlign w:val="top"/>
          </w:tcPr>
          <w:p>
            <w:pPr>
              <w:jc w:val="left"/>
            </w:pPr>
            <w:r/>
            <w:r>
              <w:rPr>
                <w:b w:val="0"/>
                <w:sz w:val="17"/>
              </w:rPr>
              <w:t>Timing</w:t>
            </w:r>
          </w:p>
        </w:tc>
        <w:tc>
          <w:tcPr>
            <w:tcW w:type="dxa" w:w="5184"/>
            <w:vAlign w:val="top"/>
          </w:tcPr>
          <w:p>
            <w:pPr>
              <w:jc w:val="left"/>
            </w:pPr>
            <w:r/>
            <w:r>
              <w:rPr>
                <w:b w:val="0"/>
                <w:sz w:val="17"/>
              </w:rPr>
              <w:t>Near invoice due date, payroll date, GST due date.</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Output</w:t>
            </w:r>
          </w:p>
        </w:tc>
        <w:tc>
          <w:tcPr>
            <w:tcW w:type="dxa" w:w="5184"/>
            <w:shd w:fill="0B3D91"/>
          </w:tcPr>
          <w:p>
            <w:pPr>
              <w:jc w:val="left"/>
            </w:pPr>
            <w:r/>
            <w:r>
              <w:rPr>
                <w:b/>
                <w:color w:val="FFFFFF"/>
                <w:sz w:val="17"/>
              </w:rPr>
              <w:t>Description</w:t>
            </w:r>
          </w:p>
        </w:tc>
      </w:tr>
      <w:tr>
        <w:tc>
          <w:tcPr>
            <w:tcW w:type="dxa" w:w="5184"/>
            <w:vAlign w:val="top"/>
          </w:tcPr>
          <w:p>
            <w:pPr>
              <w:jc w:val="left"/>
            </w:pPr>
            <w:r/>
            <w:r>
              <w:rPr>
                <w:b w:val="0"/>
                <w:sz w:val="17"/>
              </w:rPr>
              <w:t>Category</w:t>
            </w:r>
          </w:p>
        </w:tc>
        <w:tc>
          <w:tcPr>
            <w:tcW w:type="dxa" w:w="5184"/>
            <w:vAlign w:val="top"/>
          </w:tcPr>
          <w:p>
            <w:pPr>
              <w:jc w:val="left"/>
            </w:pPr>
            <w:r/>
            <w:r>
              <w:rPr>
                <w:b w:val="0"/>
                <w:sz w:val="17"/>
              </w:rPr>
              <w:t>Sales receipt, vendor payment, salary, rent, GST, loan EMI, transfer, owner drawing, unknown.</w:t>
            </w:r>
          </w:p>
        </w:tc>
      </w:tr>
      <w:tr>
        <w:tc>
          <w:tcPr>
            <w:tcW w:type="dxa" w:w="5184"/>
            <w:vAlign w:val="top"/>
          </w:tcPr>
          <w:p>
            <w:pPr>
              <w:jc w:val="left"/>
            </w:pPr>
            <w:r/>
            <w:r>
              <w:rPr>
                <w:b w:val="0"/>
                <w:sz w:val="17"/>
              </w:rPr>
              <w:t>Suggested account</w:t>
            </w:r>
          </w:p>
        </w:tc>
        <w:tc>
          <w:tcPr>
            <w:tcW w:type="dxa" w:w="5184"/>
            <w:vAlign w:val="top"/>
          </w:tcPr>
          <w:p>
            <w:pPr>
              <w:jc w:val="left"/>
            </w:pPr>
            <w:r/>
            <w:r>
              <w:rPr>
                <w:b w:val="0"/>
                <w:sz w:val="17"/>
              </w:rPr>
              <w:t>Chart of accounts mapping.</w:t>
            </w:r>
          </w:p>
        </w:tc>
      </w:tr>
      <w:tr>
        <w:tc>
          <w:tcPr>
            <w:tcW w:type="dxa" w:w="5184"/>
            <w:vAlign w:val="top"/>
          </w:tcPr>
          <w:p>
            <w:pPr>
              <w:jc w:val="left"/>
            </w:pPr>
            <w:r/>
            <w:r>
              <w:rPr>
                <w:b w:val="0"/>
                <w:sz w:val="17"/>
              </w:rPr>
              <w:t>Tax impact</w:t>
            </w:r>
          </w:p>
        </w:tc>
        <w:tc>
          <w:tcPr>
            <w:tcW w:type="dxa" w:w="5184"/>
            <w:vAlign w:val="top"/>
          </w:tcPr>
          <w:p>
            <w:pPr>
              <w:jc w:val="left"/>
            </w:pPr>
            <w:r/>
            <w:r>
              <w:rPr>
                <w:b w:val="0"/>
                <w:sz w:val="17"/>
              </w:rPr>
              <w:t>GST output/input, no GST, TDS, payroll statutory.</w:t>
            </w:r>
          </w:p>
        </w:tc>
      </w:tr>
      <w:tr>
        <w:tc>
          <w:tcPr>
            <w:tcW w:type="dxa" w:w="5184"/>
            <w:vAlign w:val="top"/>
          </w:tcPr>
          <w:p>
            <w:pPr>
              <w:jc w:val="left"/>
            </w:pPr>
            <w:r/>
            <w:r>
              <w:rPr>
                <w:b w:val="0"/>
                <w:sz w:val="17"/>
              </w:rPr>
              <w:t>Confidence score</w:t>
            </w:r>
          </w:p>
        </w:tc>
        <w:tc>
          <w:tcPr>
            <w:tcW w:type="dxa" w:w="5184"/>
            <w:vAlign w:val="top"/>
          </w:tcPr>
          <w:p>
            <w:pPr>
              <w:jc w:val="left"/>
            </w:pPr>
            <w:r/>
            <w:r>
              <w:rPr>
                <w:b w:val="0"/>
                <w:sz w:val="17"/>
              </w:rPr>
              <w:t>0-100 with reason.</w:t>
            </w:r>
          </w:p>
        </w:tc>
      </w:tr>
      <w:tr>
        <w:tc>
          <w:tcPr>
            <w:tcW w:type="dxa" w:w="5184"/>
            <w:vAlign w:val="top"/>
          </w:tcPr>
          <w:p>
            <w:pPr>
              <w:jc w:val="left"/>
            </w:pPr>
            <w:r/>
            <w:r>
              <w:rPr>
                <w:b w:val="0"/>
                <w:sz w:val="17"/>
              </w:rPr>
              <w:t>Action</w:t>
            </w:r>
          </w:p>
        </w:tc>
        <w:tc>
          <w:tcPr>
            <w:tcW w:type="dxa" w:w="5184"/>
            <w:vAlign w:val="top"/>
          </w:tcPr>
          <w:p>
            <w:pPr>
              <w:jc w:val="left"/>
            </w:pPr>
            <w:r/>
            <w:r>
              <w:rPr>
                <w:b w:val="0"/>
                <w:sz w:val="17"/>
              </w:rPr>
              <w:t>Auto-post, suggest, or send to review queue based on thresholds.</w:t>
            </w:r>
          </w:p>
        </w:tc>
      </w:tr>
    </w:tbl>
    <w:p/>
    <w:p>
      <w:pPr>
        <w:pStyle w:val="Heading1"/>
      </w:pPr>
      <w:r>
        <w:t>3. Reconciliation Algorithm</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Match Factor</w:t>
            </w:r>
          </w:p>
        </w:tc>
        <w:tc>
          <w:tcPr>
            <w:tcW w:type="dxa" w:w="5184"/>
            <w:shd w:fill="0B3D91"/>
          </w:tcPr>
          <w:p>
            <w:pPr>
              <w:jc w:val="left"/>
            </w:pPr>
            <w:r/>
            <w:r>
              <w:rPr>
                <w:b/>
                <w:color w:val="FFFFFF"/>
                <w:sz w:val="17"/>
              </w:rPr>
              <w:t>Weight</w:t>
            </w:r>
          </w:p>
        </w:tc>
      </w:tr>
      <w:tr>
        <w:tc>
          <w:tcPr>
            <w:tcW w:type="dxa" w:w="5184"/>
            <w:vAlign w:val="top"/>
          </w:tcPr>
          <w:p>
            <w:pPr>
              <w:jc w:val="left"/>
            </w:pPr>
            <w:r/>
            <w:r>
              <w:rPr>
                <w:b w:val="0"/>
                <w:sz w:val="17"/>
              </w:rPr>
              <w:t>Exact amount</w:t>
            </w:r>
          </w:p>
        </w:tc>
        <w:tc>
          <w:tcPr>
            <w:tcW w:type="dxa" w:w="5184"/>
            <w:vAlign w:val="top"/>
          </w:tcPr>
          <w:p>
            <w:pPr>
              <w:jc w:val="left"/>
            </w:pPr>
            <w:r/>
            <w:r>
              <w:rPr>
                <w:b w:val="0"/>
                <w:sz w:val="17"/>
              </w:rPr>
              <w:t>35 percent</w:t>
            </w:r>
          </w:p>
        </w:tc>
      </w:tr>
      <w:tr>
        <w:tc>
          <w:tcPr>
            <w:tcW w:type="dxa" w:w="5184"/>
            <w:vAlign w:val="top"/>
          </w:tcPr>
          <w:p>
            <w:pPr>
              <w:jc w:val="left"/>
            </w:pPr>
            <w:r/>
            <w:r>
              <w:rPr>
                <w:b w:val="0"/>
                <w:sz w:val="17"/>
              </w:rPr>
              <w:t>Date proximity</w:t>
            </w:r>
          </w:p>
        </w:tc>
        <w:tc>
          <w:tcPr>
            <w:tcW w:type="dxa" w:w="5184"/>
            <w:vAlign w:val="top"/>
          </w:tcPr>
          <w:p>
            <w:pPr>
              <w:jc w:val="left"/>
            </w:pPr>
            <w:r/>
            <w:r>
              <w:rPr>
                <w:b w:val="0"/>
                <w:sz w:val="17"/>
              </w:rPr>
              <w:t>20 percent</w:t>
            </w:r>
          </w:p>
        </w:tc>
      </w:tr>
      <w:tr>
        <w:tc>
          <w:tcPr>
            <w:tcW w:type="dxa" w:w="5184"/>
            <w:vAlign w:val="top"/>
          </w:tcPr>
          <w:p>
            <w:pPr>
              <w:jc w:val="left"/>
            </w:pPr>
            <w:r/>
            <w:r>
              <w:rPr>
                <w:b w:val="0"/>
                <w:sz w:val="17"/>
              </w:rPr>
              <w:t>Reference/UPI/gateway ID</w:t>
            </w:r>
          </w:p>
        </w:tc>
        <w:tc>
          <w:tcPr>
            <w:tcW w:type="dxa" w:w="5184"/>
            <w:vAlign w:val="top"/>
          </w:tcPr>
          <w:p>
            <w:pPr>
              <w:jc w:val="left"/>
            </w:pPr>
            <w:r/>
            <w:r>
              <w:rPr>
                <w:b w:val="0"/>
                <w:sz w:val="17"/>
              </w:rPr>
              <w:t>20 percent</w:t>
            </w:r>
          </w:p>
        </w:tc>
      </w:tr>
      <w:tr>
        <w:tc>
          <w:tcPr>
            <w:tcW w:type="dxa" w:w="5184"/>
            <w:vAlign w:val="top"/>
          </w:tcPr>
          <w:p>
            <w:pPr>
              <w:jc w:val="left"/>
            </w:pPr>
            <w:r/>
            <w:r>
              <w:rPr>
                <w:b w:val="0"/>
                <w:sz w:val="17"/>
              </w:rPr>
              <w:t>Counterparty similarity</w:t>
            </w:r>
          </w:p>
        </w:tc>
        <w:tc>
          <w:tcPr>
            <w:tcW w:type="dxa" w:w="5184"/>
            <w:vAlign w:val="top"/>
          </w:tcPr>
          <w:p>
            <w:pPr>
              <w:jc w:val="left"/>
            </w:pPr>
            <w:r/>
            <w:r>
              <w:rPr>
                <w:b w:val="0"/>
                <w:sz w:val="17"/>
              </w:rPr>
              <w:t>15 percent</w:t>
            </w:r>
          </w:p>
        </w:tc>
      </w:tr>
      <w:tr>
        <w:tc>
          <w:tcPr>
            <w:tcW w:type="dxa" w:w="5184"/>
            <w:vAlign w:val="top"/>
          </w:tcPr>
          <w:p>
            <w:pPr>
              <w:jc w:val="left"/>
            </w:pPr>
            <w:r/>
            <w:r>
              <w:rPr>
                <w:b w:val="0"/>
                <w:sz w:val="17"/>
              </w:rPr>
              <w:t>Invoice/vendor/employee link</w:t>
            </w:r>
          </w:p>
        </w:tc>
        <w:tc>
          <w:tcPr>
            <w:tcW w:type="dxa" w:w="5184"/>
            <w:vAlign w:val="top"/>
          </w:tcPr>
          <w:p>
            <w:pPr>
              <w:jc w:val="left"/>
            </w:pPr>
            <w:r/>
            <w:r>
              <w:rPr>
                <w:b w:val="0"/>
                <w:sz w:val="17"/>
              </w:rPr>
              <w:t>10 percent</w:t>
            </w:r>
          </w:p>
        </w:tc>
      </w:tr>
    </w:tbl>
    <w:p/>
    <w:p>
      <w:pPr>
        <w:pStyle w:val="ListBullet"/>
      </w:pPr>
      <w:r>
        <w:t>Auto-match if score is 90 or above and no risk flag exists.</w:t>
      </w:r>
    </w:p>
    <w:p>
      <w:pPr>
        <w:pStyle w:val="ListBullet"/>
      </w:pPr>
      <w:r>
        <w:t>Suggest match if score is 70 to 89; user confirms.</w:t>
      </w:r>
    </w:p>
    <w:p>
      <w:pPr>
        <w:pStyle w:val="ListBullet"/>
      </w:pPr>
      <w:r>
        <w:t>Create exception if score is below 70, duplicate, contradictory, or compliance-sensitive.</w:t>
      </w:r>
    </w:p>
    <w:p>
      <w:pPr>
        <w:pStyle w:val="ListBullet"/>
      </w:pPr>
      <w:r>
        <w:t>Never reconcile a bank debit to a new beneficiary without verification.</w:t>
      </w:r>
    </w:p>
    <w:p>
      <w:pPr>
        <w:pStyle w:val="ListBullet"/>
      </w:pPr>
      <w:r>
        <w:t>Use exact paise-level amount matching for confirmed payment gateway settlements.</w:t>
      </w:r>
    </w:p>
    <w:p>
      <w:pPr>
        <w:pStyle w:val="Heading1"/>
      </w:pPr>
      <w:r>
        <w:t>4. OCR Extraction Engine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3D91"/>
          </w:tcPr>
          <w:p>
            <w:pPr>
              <w:jc w:val="left"/>
            </w:pPr>
            <w:r/>
            <w:r>
              <w:rPr>
                <w:b/>
                <w:color w:val="FFFFFF"/>
                <w:sz w:val="17"/>
              </w:rPr>
              <w:t>Document Type</w:t>
            </w:r>
          </w:p>
        </w:tc>
        <w:tc>
          <w:tcPr>
            <w:tcW w:type="dxa" w:w="3456"/>
            <w:shd w:fill="0B3D91"/>
          </w:tcPr>
          <w:p>
            <w:pPr>
              <w:jc w:val="left"/>
            </w:pPr>
            <w:r/>
            <w:r>
              <w:rPr>
                <w:b/>
                <w:color w:val="FFFFFF"/>
                <w:sz w:val="17"/>
              </w:rPr>
              <w:t>Fields to Extract</w:t>
            </w:r>
          </w:p>
        </w:tc>
        <w:tc>
          <w:tcPr>
            <w:tcW w:type="dxa" w:w="3456"/>
            <w:shd w:fill="0B3D91"/>
          </w:tcPr>
          <w:p>
            <w:pPr>
              <w:jc w:val="left"/>
            </w:pPr>
            <w:r/>
            <w:r>
              <w:rPr>
                <w:b/>
                <w:color w:val="FFFFFF"/>
                <w:sz w:val="17"/>
              </w:rPr>
              <w:t>Validation</w:t>
            </w:r>
          </w:p>
        </w:tc>
      </w:tr>
      <w:tr>
        <w:tc>
          <w:tcPr>
            <w:tcW w:type="dxa" w:w="3456"/>
            <w:vAlign w:val="top"/>
          </w:tcPr>
          <w:p>
            <w:pPr>
              <w:jc w:val="left"/>
            </w:pPr>
            <w:r/>
            <w:r>
              <w:rPr>
                <w:b w:val="0"/>
                <w:sz w:val="17"/>
              </w:rPr>
              <w:t>Vendor QR</w:t>
            </w:r>
          </w:p>
        </w:tc>
        <w:tc>
          <w:tcPr>
            <w:tcW w:type="dxa" w:w="3456"/>
            <w:vAlign w:val="top"/>
          </w:tcPr>
          <w:p>
            <w:pPr>
              <w:jc w:val="left"/>
            </w:pPr>
            <w:r/>
            <w:r>
              <w:rPr>
                <w:b w:val="0"/>
                <w:sz w:val="17"/>
              </w:rPr>
              <w:t>UPI ID, payee name, QR type.</w:t>
            </w:r>
          </w:p>
        </w:tc>
        <w:tc>
          <w:tcPr>
            <w:tcW w:type="dxa" w:w="3456"/>
            <w:vAlign w:val="top"/>
          </w:tcPr>
          <w:p>
            <w:pPr>
              <w:jc w:val="left"/>
            </w:pPr>
            <w:r/>
            <w:r>
              <w:rPr>
                <w:b w:val="0"/>
                <w:sz w:val="17"/>
              </w:rPr>
              <w:t>UPI format, payee confirmation.</w:t>
            </w:r>
          </w:p>
        </w:tc>
      </w:tr>
      <w:tr>
        <w:tc>
          <w:tcPr>
            <w:tcW w:type="dxa" w:w="3456"/>
            <w:vAlign w:val="top"/>
          </w:tcPr>
          <w:p>
            <w:pPr>
              <w:jc w:val="left"/>
            </w:pPr>
            <w:r/>
            <w:r>
              <w:rPr>
                <w:b w:val="0"/>
                <w:sz w:val="17"/>
              </w:rPr>
              <w:t>Bank details image</w:t>
            </w:r>
          </w:p>
        </w:tc>
        <w:tc>
          <w:tcPr>
            <w:tcW w:type="dxa" w:w="3456"/>
            <w:vAlign w:val="top"/>
          </w:tcPr>
          <w:p>
            <w:pPr>
              <w:jc w:val="left"/>
            </w:pPr>
            <w:r/>
            <w:r>
              <w:rPr>
                <w:b w:val="0"/>
                <w:sz w:val="17"/>
              </w:rPr>
              <w:t>Account number, IFSC, account holder, bank name.</w:t>
            </w:r>
          </w:p>
        </w:tc>
        <w:tc>
          <w:tcPr>
            <w:tcW w:type="dxa" w:w="3456"/>
            <w:vAlign w:val="top"/>
          </w:tcPr>
          <w:p>
            <w:pPr>
              <w:jc w:val="left"/>
            </w:pPr>
            <w:r/>
            <w:r>
              <w:rPr>
                <w:b w:val="0"/>
                <w:sz w:val="17"/>
              </w:rPr>
              <w:t>IFSC format, account number length, manual confirmation.</w:t>
            </w:r>
          </w:p>
        </w:tc>
      </w:tr>
      <w:tr>
        <w:tc>
          <w:tcPr>
            <w:tcW w:type="dxa" w:w="3456"/>
            <w:vAlign w:val="top"/>
          </w:tcPr>
          <w:p>
            <w:pPr>
              <w:jc w:val="left"/>
            </w:pPr>
            <w:r/>
            <w:r>
              <w:rPr>
                <w:b w:val="0"/>
                <w:sz w:val="17"/>
              </w:rPr>
              <w:t>GST invoice</w:t>
            </w:r>
          </w:p>
        </w:tc>
        <w:tc>
          <w:tcPr>
            <w:tcW w:type="dxa" w:w="3456"/>
            <w:vAlign w:val="top"/>
          </w:tcPr>
          <w:p>
            <w:pPr>
              <w:jc w:val="left"/>
            </w:pPr>
            <w:r/>
            <w:r>
              <w:rPr>
                <w:b w:val="0"/>
                <w:sz w:val="17"/>
              </w:rPr>
              <w:t>GSTIN, invoice no, date, taxable value, GST amount, total.</w:t>
            </w:r>
          </w:p>
        </w:tc>
        <w:tc>
          <w:tcPr>
            <w:tcW w:type="dxa" w:w="3456"/>
            <w:vAlign w:val="top"/>
          </w:tcPr>
          <w:p>
            <w:pPr>
              <w:jc w:val="left"/>
            </w:pPr>
            <w:r/>
            <w:r>
              <w:rPr>
                <w:b w:val="0"/>
                <w:sz w:val="17"/>
              </w:rPr>
              <w:t>GSTIN format, tax arithmetic, duplicate invoice check.</w:t>
            </w:r>
          </w:p>
        </w:tc>
      </w:tr>
      <w:tr>
        <w:tc>
          <w:tcPr>
            <w:tcW w:type="dxa" w:w="3456"/>
            <w:vAlign w:val="top"/>
          </w:tcPr>
          <w:p>
            <w:pPr>
              <w:jc w:val="left"/>
            </w:pPr>
            <w:r/>
            <w:r>
              <w:rPr>
                <w:b w:val="0"/>
                <w:sz w:val="17"/>
              </w:rPr>
              <w:t>Cheque</w:t>
            </w:r>
          </w:p>
        </w:tc>
        <w:tc>
          <w:tcPr>
            <w:tcW w:type="dxa" w:w="3456"/>
            <w:vAlign w:val="top"/>
          </w:tcPr>
          <w:p>
            <w:pPr>
              <w:jc w:val="left"/>
            </w:pPr>
            <w:r/>
            <w:r>
              <w:rPr>
                <w:b w:val="0"/>
                <w:sz w:val="17"/>
              </w:rPr>
              <w:t>Account number, IFSC/MICR, payee if visible.</w:t>
            </w:r>
          </w:p>
        </w:tc>
        <w:tc>
          <w:tcPr>
            <w:tcW w:type="dxa" w:w="3456"/>
            <w:vAlign w:val="top"/>
          </w:tcPr>
          <w:p>
            <w:pPr>
              <w:jc w:val="left"/>
            </w:pPr>
            <w:r/>
            <w:r>
              <w:rPr>
                <w:b w:val="0"/>
                <w:sz w:val="17"/>
              </w:rPr>
              <w:t>Manual confirmation mandatory.</w:t>
            </w:r>
          </w:p>
        </w:tc>
      </w:tr>
      <w:tr>
        <w:tc>
          <w:tcPr>
            <w:tcW w:type="dxa" w:w="3456"/>
            <w:vAlign w:val="top"/>
          </w:tcPr>
          <w:p>
            <w:pPr>
              <w:jc w:val="left"/>
            </w:pPr>
            <w:r/>
            <w:r>
              <w:rPr>
                <w:b w:val="0"/>
                <w:sz w:val="17"/>
              </w:rPr>
              <w:t>Bank statement PDF</w:t>
            </w:r>
          </w:p>
        </w:tc>
        <w:tc>
          <w:tcPr>
            <w:tcW w:type="dxa" w:w="3456"/>
            <w:vAlign w:val="top"/>
          </w:tcPr>
          <w:p>
            <w:pPr>
              <w:jc w:val="left"/>
            </w:pPr>
            <w:r/>
            <w:r>
              <w:rPr>
                <w:b w:val="0"/>
                <w:sz w:val="17"/>
              </w:rPr>
              <w:t>Date, narration, debit, credit, balance.</w:t>
            </w:r>
          </w:p>
        </w:tc>
        <w:tc>
          <w:tcPr>
            <w:tcW w:type="dxa" w:w="3456"/>
            <w:vAlign w:val="top"/>
          </w:tcPr>
          <w:p>
            <w:pPr>
              <w:jc w:val="left"/>
            </w:pPr>
            <w:r/>
            <w:r>
              <w:rPr>
                <w:b w:val="0"/>
                <w:sz w:val="17"/>
              </w:rPr>
              <w:t>Opening/closing balance consistency.</w:t>
            </w:r>
          </w:p>
        </w:tc>
      </w:tr>
    </w:tbl>
    <w:p/>
    <w:p>
      <w:pPr>
        <w:pStyle w:val="Heading1"/>
      </w:pPr>
      <w:r>
        <w:t>5. Fraud and Anomaly Detection</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Risk Signal</w:t>
            </w:r>
          </w:p>
        </w:tc>
        <w:tc>
          <w:tcPr>
            <w:tcW w:type="dxa" w:w="5184"/>
            <w:shd w:fill="0B3D91"/>
          </w:tcPr>
          <w:p>
            <w:pPr>
              <w:jc w:val="left"/>
            </w:pPr>
            <w:r/>
            <w:r>
              <w:rPr>
                <w:b/>
                <w:color w:val="FFFFFF"/>
                <w:sz w:val="17"/>
              </w:rPr>
              <w:t>System Action</w:t>
            </w:r>
          </w:p>
        </w:tc>
      </w:tr>
      <w:tr>
        <w:tc>
          <w:tcPr>
            <w:tcW w:type="dxa" w:w="5184"/>
            <w:vAlign w:val="top"/>
          </w:tcPr>
          <w:p>
            <w:pPr>
              <w:jc w:val="left"/>
            </w:pPr>
            <w:r/>
            <w:r>
              <w:rPr>
                <w:b w:val="0"/>
                <w:sz w:val="17"/>
              </w:rPr>
              <w:t>Duplicate payment/reference</w:t>
            </w:r>
          </w:p>
        </w:tc>
        <w:tc>
          <w:tcPr>
            <w:tcW w:type="dxa" w:w="5184"/>
            <w:vAlign w:val="top"/>
          </w:tcPr>
          <w:p>
            <w:pPr>
              <w:jc w:val="left"/>
            </w:pPr>
            <w:r/>
            <w:r>
              <w:rPr>
                <w:b w:val="0"/>
                <w:sz w:val="17"/>
              </w:rPr>
              <w:t>Block duplicate posting and create exception.</w:t>
            </w:r>
          </w:p>
        </w:tc>
      </w:tr>
      <w:tr>
        <w:tc>
          <w:tcPr>
            <w:tcW w:type="dxa" w:w="5184"/>
            <w:vAlign w:val="top"/>
          </w:tcPr>
          <w:p>
            <w:pPr>
              <w:jc w:val="left"/>
            </w:pPr>
            <w:r/>
            <w:r>
              <w:rPr>
                <w:b w:val="0"/>
                <w:sz w:val="17"/>
              </w:rPr>
              <w:t>Vendor bank account changed before payout</w:t>
            </w:r>
          </w:p>
        </w:tc>
        <w:tc>
          <w:tcPr>
            <w:tcW w:type="dxa" w:w="5184"/>
            <w:vAlign w:val="top"/>
          </w:tcPr>
          <w:p>
            <w:pPr>
              <w:jc w:val="left"/>
            </w:pPr>
            <w:r/>
            <w:r>
              <w:rPr>
                <w:b w:val="0"/>
                <w:sz w:val="17"/>
              </w:rPr>
              <w:t>Require maker-checker and owner OTP.</w:t>
            </w:r>
          </w:p>
        </w:tc>
      </w:tr>
      <w:tr>
        <w:tc>
          <w:tcPr>
            <w:tcW w:type="dxa" w:w="5184"/>
            <w:vAlign w:val="top"/>
          </w:tcPr>
          <w:p>
            <w:pPr>
              <w:jc w:val="left"/>
            </w:pPr>
            <w:r/>
            <w:r>
              <w:rPr>
                <w:b w:val="0"/>
                <w:sz w:val="17"/>
              </w:rPr>
              <w:t>Unusual high cash withdrawal</w:t>
            </w:r>
          </w:p>
        </w:tc>
        <w:tc>
          <w:tcPr>
            <w:tcW w:type="dxa" w:w="5184"/>
            <w:vAlign w:val="top"/>
          </w:tcPr>
          <w:p>
            <w:pPr>
              <w:jc w:val="left"/>
            </w:pPr>
            <w:r/>
            <w:r>
              <w:rPr>
                <w:b w:val="0"/>
                <w:sz w:val="17"/>
              </w:rPr>
              <w:t>Flag for owner review.</w:t>
            </w:r>
          </w:p>
        </w:tc>
      </w:tr>
      <w:tr>
        <w:tc>
          <w:tcPr>
            <w:tcW w:type="dxa" w:w="5184"/>
            <w:vAlign w:val="top"/>
          </w:tcPr>
          <w:p>
            <w:pPr>
              <w:jc w:val="left"/>
            </w:pPr>
            <w:r/>
            <w:r>
              <w:rPr>
                <w:b w:val="0"/>
                <w:sz w:val="17"/>
              </w:rPr>
              <w:t>Split payments below approval threshold</w:t>
            </w:r>
          </w:p>
        </w:tc>
        <w:tc>
          <w:tcPr>
            <w:tcW w:type="dxa" w:w="5184"/>
            <w:vAlign w:val="top"/>
          </w:tcPr>
          <w:p>
            <w:pPr>
              <w:jc w:val="left"/>
            </w:pPr>
            <w:r/>
            <w:r>
              <w:rPr>
                <w:b w:val="0"/>
                <w:sz w:val="17"/>
              </w:rPr>
              <w:t>Aggregate and flag suspicious behavior.</w:t>
            </w:r>
          </w:p>
        </w:tc>
      </w:tr>
      <w:tr>
        <w:tc>
          <w:tcPr>
            <w:tcW w:type="dxa" w:w="5184"/>
            <w:vAlign w:val="top"/>
          </w:tcPr>
          <w:p>
            <w:pPr>
              <w:jc w:val="left"/>
            </w:pPr>
            <w:r/>
            <w:r>
              <w:rPr>
                <w:b w:val="0"/>
                <w:sz w:val="17"/>
              </w:rPr>
              <w:t>GST invoice number duplicate</w:t>
            </w:r>
          </w:p>
        </w:tc>
        <w:tc>
          <w:tcPr>
            <w:tcW w:type="dxa" w:w="5184"/>
            <w:vAlign w:val="top"/>
          </w:tcPr>
          <w:p>
            <w:pPr>
              <w:jc w:val="left"/>
            </w:pPr>
            <w:r/>
            <w:r>
              <w:rPr>
                <w:b w:val="0"/>
                <w:sz w:val="17"/>
              </w:rPr>
              <w:t>Block clean compliance export.</w:t>
            </w:r>
          </w:p>
        </w:tc>
      </w:tr>
      <w:tr>
        <w:tc>
          <w:tcPr>
            <w:tcW w:type="dxa" w:w="5184"/>
            <w:vAlign w:val="top"/>
          </w:tcPr>
          <w:p>
            <w:pPr>
              <w:jc w:val="left"/>
            </w:pPr>
            <w:r/>
            <w:r>
              <w:rPr>
                <w:b w:val="0"/>
                <w:sz w:val="17"/>
              </w:rPr>
              <w:t>Payment to unknown beneficiary</w:t>
            </w:r>
          </w:p>
        </w:tc>
        <w:tc>
          <w:tcPr>
            <w:tcW w:type="dxa" w:w="5184"/>
            <w:vAlign w:val="top"/>
          </w:tcPr>
          <w:p>
            <w:pPr>
              <w:jc w:val="left"/>
            </w:pPr>
            <w:r/>
            <w:r>
              <w:rPr>
                <w:b w:val="0"/>
                <w:sz w:val="17"/>
              </w:rPr>
              <w:t>Require approval and beneficiary validation.</w:t>
            </w:r>
          </w:p>
        </w:tc>
      </w:tr>
      <w:tr>
        <w:tc>
          <w:tcPr>
            <w:tcW w:type="dxa" w:w="5184"/>
            <w:vAlign w:val="top"/>
          </w:tcPr>
          <w:p>
            <w:pPr>
              <w:jc w:val="left"/>
            </w:pPr>
            <w:r/>
            <w:r>
              <w:rPr>
                <w:b w:val="0"/>
                <w:sz w:val="17"/>
              </w:rPr>
              <w:t>Transaction edited after month lock</w:t>
            </w:r>
          </w:p>
        </w:tc>
        <w:tc>
          <w:tcPr>
            <w:tcW w:type="dxa" w:w="5184"/>
            <w:vAlign w:val="top"/>
          </w:tcPr>
          <w:p>
            <w:pPr>
              <w:jc w:val="left"/>
            </w:pPr>
            <w:r/>
            <w:r>
              <w:rPr>
                <w:b w:val="0"/>
                <w:sz w:val="17"/>
              </w:rPr>
              <w:t>Reject direct edit; require correction workflow.</w:t>
            </w:r>
          </w:p>
        </w:tc>
      </w:tr>
      <w:tr>
        <w:tc>
          <w:tcPr>
            <w:tcW w:type="dxa" w:w="5184"/>
            <w:vAlign w:val="top"/>
          </w:tcPr>
          <w:p>
            <w:pPr>
              <w:jc w:val="left"/>
            </w:pPr>
            <w:r/>
            <w:r>
              <w:rPr>
                <w:b w:val="0"/>
                <w:sz w:val="17"/>
              </w:rPr>
              <w:t>Large manual journal entry</w:t>
            </w:r>
          </w:p>
        </w:tc>
        <w:tc>
          <w:tcPr>
            <w:tcW w:type="dxa" w:w="5184"/>
            <w:vAlign w:val="top"/>
          </w:tcPr>
          <w:p>
            <w:pPr>
              <w:jc w:val="left"/>
            </w:pPr>
            <w:r/>
            <w:r>
              <w:rPr>
                <w:b w:val="0"/>
                <w:sz w:val="17"/>
              </w:rPr>
              <w:t>Maker-checker approval and audit comment required.</w:t>
            </w:r>
          </w:p>
        </w:tc>
      </w:tr>
    </w:tbl>
    <w:p/>
    <w:p>
      <w:pPr>
        <w:pStyle w:val="Heading1"/>
      </w:pPr>
      <w:r>
        <w:t>6. Cashflow Forecasting</w:t>
      </w:r>
    </w:p>
    <w:p>
      <w:pPr>
        <w:pStyle w:val="ListBullet"/>
      </w:pPr>
      <w:r>
        <w:t>Forecast cash position for 7, 15, 30, and 90 days.</w:t>
      </w:r>
    </w:p>
    <w:p>
      <w:pPr>
        <w:pStyle w:val="ListBullet"/>
      </w:pPr>
      <w:r>
        <w:t>Inputs: current bank/cash, confirmed receivables, installment schedule, vendor payables, payroll, GST/TDS/PF/ESI dues, loan EMIs, recurring expenses.</w:t>
      </w:r>
    </w:p>
    <w:p>
      <w:pPr>
        <w:pStyle w:val="ListBullet"/>
      </w:pPr>
      <w:r>
        <w:t>Output: expected closing cash, cash shortage risk, collection priority list, postponable payouts, compliance dues.</w:t>
      </w:r>
    </w:p>
    <w:p>
      <w:pPr>
        <w:pStyle w:val="ListBullet"/>
      </w:pPr>
      <w:r>
        <w:t>Forecast should show assumptions and confidence rather than pretending certainty.</w:t>
      </w:r>
    </w:p>
    <w:p>
      <w:pPr>
        <w:pStyle w:val="Heading1"/>
      </w:pPr>
      <w:r>
        <w:t>7. Compliance Risk Scoring</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Risk Component</w:t>
            </w:r>
          </w:p>
        </w:tc>
        <w:tc>
          <w:tcPr>
            <w:tcW w:type="dxa" w:w="5184"/>
            <w:shd w:fill="0B3D91"/>
          </w:tcPr>
          <w:p>
            <w:pPr>
              <w:jc w:val="left"/>
            </w:pPr>
            <w:r/>
            <w:r>
              <w:rPr>
                <w:b/>
                <w:color w:val="FFFFFF"/>
                <w:sz w:val="17"/>
              </w:rPr>
              <w:t>Score Driver</w:t>
            </w:r>
          </w:p>
        </w:tc>
      </w:tr>
      <w:tr>
        <w:tc>
          <w:tcPr>
            <w:tcW w:type="dxa" w:w="5184"/>
            <w:vAlign w:val="top"/>
          </w:tcPr>
          <w:p>
            <w:pPr>
              <w:jc w:val="left"/>
            </w:pPr>
            <w:r/>
            <w:r>
              <w:rPr>
                <w:b w:val="0"/>
                <w:sz w:val="17"/>
              </w:rPr>
              <w:t>Missing GST fields</w:t>
            </w:r>
          </w:p>
        </w:tc>
        <w:tc>
          <w:tcPr>
            <w:tcW w:type="dxa" w:w="5184"/>
            <w:vAlign w:val="top"/>
          </w:tcPr>
          <w:p>
            <w:pPr>
              <w:jc w:val="left"/>
            </w:pPr>
            <w:r/>
            <w:r>
              <w:rPr>
                <w:b w:val="0"/>
                <w:sz w:val="17"/>
              </w:rPr>
              <w:t>GSTIN, HSN/SAC, invoice type, place of supply.</w:t>
            </w:r>
          </w:p>
        </w:tc>
      </w:tr>
      <w:tr>
        <w:tc>
          <w:tcPr>
            <w:tcW w:type="dxa" w:w="5184"/>
            <w:vAlign w:val="top"/>
          </w:tcPr>
          <w:p>
            <w:pPr>
              <w:jc w:val="left"/>
            </w:pPr>
            <w:r/>
            <w:r>
              <w:rPr>
                <w:b w:val="0"/>
                <w:sz w:val="17"/>
              </w:rPr>
              <w:t>Unreconciled transactions</w:t>
            </w:r>
          </w:p>
        </w:tc>
        <w:tc>
          <w:tcPr>
            <w:tcW w:type="dxa" w:w="5184"/>
            <w:vAlign w:val="top"/>
          </w:tcPr>
          <w:p>
            <w:pPr>
              <w:jc w:val="left"/>
            </w:pPr>
            <w:r/>
            <w:r>
              <w:rPr>
                <w:b w:val="0"/>
                <w:sz w:val="17"/>
              </w:rPr>
              <w:t>Bank/UPI/cash entries not mapped before report export.</w:t>
            </w:r>
          </w:p>
        </w:tc>
      </w:tr>
      <w:tr>
        <w:tc>
          <w:tcPr>
            <w:tcW w:type="dxa" w:w="5184"/>
            <w:vAlign w:val="top"/>
          </w:tcPr>
          <w:p>
            <w:pPr>
              <w:jc w:val="left"/>
            </w:pPr>
            <w:r/>
            <w:r>
              <w:rPr>
                <w:b w:val="0"/>
                <w:sz w:val="17"/>
              </w:rPr>
              <w:t>Late invoice reporting risk</w:t>
            </w:r>
          </w:p>
        </w:tc>
        <w:tc>
          <w:tcPr>
            <w:tcW w:type="dxa" w:w="5184"/>
            <w:vAlign w:val="top"/>
          </w:tcPr>
          <w:p>
            <w:pPr>
              <w:jc w:val="left"/>
            </w:pPr>
            <w:r/>
            <w:r>
              <w:rPr>
                <w:b w:val="0"/>
                <w:sz w:val="17"/>
              </w:rPr>
              <w:t>E-invoice reporting age and period closure status.</w:t>
            </w:r>
          </w:p>
        </w:tc>
      </w:tr>
      <w:tr>
        <w:tc>
          <w:tcPr>
            <w:tcW w:type="dxa" w:w="5184"/>
            <w:vAlign w:val="top"/>
          </w:tcPr>
          <w:p>
            <w:pPr>
              <w:jc w:val="left"/>
            </w:pPr>
            <w:r/>
            <w:r>
              <w:rPr>
                <w:b w:val="0"/>
                <w:sz w:val="17"/>
              </w:rPr>
              <w:t>Payroll gaps</w:t>
            </w:r>
          </w:p>
        </w:tc>
        <w:tc>
          <w:tcPr>
            <w:tcW w:type="dxa" w:w="5184"/>
            <w:vAlign w:val="top"/>
          </w:tcPr>
          <w:p>
            <w:pPr>
              <w:jc w:val="left"/>
            </w:pPr>
            <w:r/>
            <w:r>
              <w:rPr>
                <w:b w:val="0"/>
                <w:sz w:val="17"/>
              </w:rPr>
              <w:t>Employee salary without payslip/statutory mapping.</w:t>
            </w:r>
          </w:p>
        </w:tc>
      </w:tr>
      <w:tr>
        <w:tc>
          <w:tcPr>
            <w:tcW w:type="dxa" w:w="5184"/>
            <w:vAlign w:val="top"/>
          </w:tcPr>
          <w:p>
            <w:pPr>
              <w:jc w:val="left"/>
            </w:pPr>
            <w:r/>
            <w:r>
              <w:rPr>
                <w:b w:val="0"/>
                <w:sz w:val="17"/>
              </w:rPr>
              <w:t>Cash risk</w:t>
            </w:r>
          </w:p>
        </w:tc>
        <w:tc>
          <w:tcPr>
            <w:tcW w:type="dxa" w:w="5184"/>
            <w:vAlign w:val="top"/>
          </w:tcPr>
          <w:p>
            <w:pPr>
              <w:jc w:val="left"/>
            </w:pPr>
            <w:r/>
            <w:r>
              <w:rPr>
                <w:b w:val="0"/>
                <w:sz w:val="17"/>
              </w:rPr>
              <w:t>High cash expenses without evidence.</w:t>
            </w:r>
          </w:p>
        </w:tc>
      </w:tr>
      <w:tr>
        <w:tc>
          <w:tcPr>
            <w:tcW w:type="dxa" w:w="5184"/>
            <w:vAlign w:val="top"/>
          </w:tcPr>
          <w:p>
            <w:pPr>
              <w:jc w:val="left"/>
            </w:pPr>
            <w:r/>
            <w:r>
              <w:rPr>
                <w:b w:val="0"/>
                <w:sz w:val="17"/>
              </w:rPr>
              <w:t>Audit gaps</w:t>
            </w:r>
          </w:p>
        </w:tc>
        <w:tc>
          <w:tcPr>
            <w:tcW w:type="dxa" w:w="5184"/>
            <w:vAlign w:val="top"/>
          </w:tcPr>
          <w:p>
            <w:pPr>
              <w:jc w:val="left"/>
            </w:pPr>
            <w:r/>
            <w:r>
              <w:rPr>
                <w:b w:val="0"/>
                <w:sz w:val="17"/>
              </w:rPr>
              <w:t>Transactions without source document or approval where required.</w:t>
            </w:r>
          </w:p>
        </w:tc>
      </w:tr>
      <w:tr>
        <w:tc>
          <w:tcPr>
            <w:tcW w:type="dxa" w:w="5184"/>
            <w:vAlign w:val="top"/>
          </w:tcPr>
          <w:p>
            <w:pPr>
              <w:jc w:val="left"/>
            </w:pPr>
            <w:r/>
            <w:r>
              <w:rPr>
                <w:b w:val="0"/>
                <w:sz w:val="17"/>
              </w:rPr>
              <w:t>Return preparation risk</w:t>
            </w:r>
          </w:p>
        </w:tc>
        <w:tc>
          <w:tcPr>
            <w:tcW w:type="dxa" w:w="5184"/>
            <w:vAlign w:val="top"/>
          </w:tcPr>
          <w:p>
            <w:pPr>
              <w:jc w:val="left"/>
            </w:pPr>
            <w:r/>
            <w:r>
              <w:rPr>
                <w:b w:val="0"/>
                <w:sz w:val="17"/>
              </w:rPr>
              <w:t>GSTR-1/GSTR-3B differences, ITC mismatch, missing purchase bills.</w:t>
            </w:r>
          </w:p>
        </w:tc>
      </w:tr>
    </w:tbl>
    <w:p/>
    <w:p>
      <w:pPr>
        <w:pStyle w:val="Heading1"/>
      </w:pPr>
      <w:r>
        <w:t>8. AI Guardrails</w:t>
      </w:r>
    </w:p>
    <w:p>
      <w:pPr>
        <w:pStyle w:val="ListBullet"/>
      </w:pPr>
      <w:r>
        <w:t>AI suggestions must include explanation, confidence score, source evidence, and review status.</w:t>
      </w:r>
    </w:p>
    <w:p>
      <w:pPr>
        <w:pStyle w:val="ListBullet"/>
      </w:pPr>
      <w:r>
        <w:t>AI cannot approve payouts, file tax returns, change beneficiary details, or reopen locked months.</w:t>
      </w:r>
    </w:p>
    <w:p>
      <w:pPr>
        <w:pStyle w:val="ListBullet"/>
      </w:pPr>
      <w:r>
        <w:t>AI cannot overwrite user-confirmed accounting entries; it may suggest corrections.</w:t>
      </w:r>
    </w:p>
    <w:p>
      <w:pPr>
        <w:pStyle w:val="ListBullet"/>
      </w:pPr>
      <w:r>
        <w:t>AI model inputs and outputs must be logged with tenant-safe privacy controls.</w:t>
      </w:r>
    </w:p>
    <w:p>
      <w:pPr>
        <w:pStyle w:val="ListBullet"/>
      </w:pPr>
      <w:r>
        <w:t>Prompt injection defenses are required for OCR/document and chat-based assistant workflows.</w:t>
      </w:r>
    </w:p>
    <w:p>
      <w:pPr>
        <w:pStyle w:val="ListBullet"/>
      </w:pPr>
      <w:r>
        <w:t>For regulated outputs, final action requires authorized user or professional review.</w:t>
      </w:r>
    </w:p>
    <w:p>
      <w:pPr>
        <w:pStyle w:val="Heading1"/>
      </w:pPr>
      <w:r>
        <w:t>Regulatory and Reference Sources</w:t>
      </w:r>
    </w:p>
    <w:p>
      <w:r>
        <w:rPr>
          <w:b w:val="0"/>
          <w:i w:val="0"/>
        </w:rPr>
        <w:t>This document is a product and technology planning artifact. GST, payroll, income-tax, privacy, RBI, and payment rules must be revalidated by qualified legal, tax, and compliance experts before production release or filing automation.</w:t>
      </w:r>
    </w:p>
    <w:p>
      <w:pPr>
        <w:pStyle w:val="ListBullet"/>
      </w:pPr>
      <w:r>
        <w:rPr>
          <w:b/>
        </w:rPr>
        <w:t xml:space="preserve">GST QRMP and GSTR-1/GSTR-3B guidance: </w:t>
      </w:r>
      <w:r>
        <w:t>GST tutorial portal: https://tutorial.gst.gov.in/</w:t>
      </w:r>
    </w:p>
    <w:p>
      <w:pPr>
        <w:pStyle w:val="ListBullet"/>
      </w:pPr>
      <w:r>
        <w:rPr>
          <w:b/>
        </w:rPr>
        <w:t xml:space="preserve">GSTR-3B monthly filer due-date guidance: </w:t>
      </w:r>
      <w:r>
        <w:t>GST tutorial portal Form GSTR-3B FAQ: https://tutorial.gst.gov.in/userguide/returns/GSTR3B.htm</w:t>
      </w:r>
    </w:p>
    <w:p>
      <w:pPr>
        <w:pStyle w:val="ListBullet"/>
      </w:pPr>
      <w:r>
        <w:rPr>
          <w:b/>
        </w:rPr>
        <w:t xml:space="preserve">E-invoice threshold and IRP advisories: </w:t>
      </w:r>
      <w:r>
        <w:t>GST e-invoice portal: https://einvoice.gst.gov.in/</w:t>
      </w:r>
    </w:p>
    <w:p>
      <w:pPr>
        <w:pStyle w:val="ListBullet"/>
      </w:pPr>
      <w:r>
        <w:rPr>
          <w:b/>
        </w:rPr>
        <w:t xml:space="preserve">E-way bill value threshold: </w:t>
      </w:r>
      <w:r>
        <w:t>E-Way Bill system FAQ: https://ewaybillgst.gov.in/Staticpages/faq.aspx</w:t>
      </w:r>
    </w:p>
    <w:p>
      <w:pPr>
        <w:pStyle w:val="ListBullet"/>
      </w:pPr>
      <w:r>
        <w:rPr>
          <w:b/>
        </w:rPr>
        <w:t xml:space="preserve">RBI payment data storage localization: </w:t>
      </w:r>
      <w:r>
        <w:t>RBI FAQ on Storage of Payment System Data: https://www.rbi.org.in/commonman/english/scripts/FAQs.aspx?Id=2995</w:t>
      </w:r>
    </w:p>
    <w:p>
      <w:pPr>
        <w:pStyle w:val="ListBullet"/>
      </w:pPr>
      <w:r>
        <w:rPr>
          <w:b/>
        </w:rPr>
        <w:t xml:space="preserve">DPDP Rules 2025: </w:t>
      </w:r>
      <w:r>
        <w:t>MeitY DPDP Rules page: https://www.meity.gov.in/documents/act-and-policies/digital-personal-data-protection-rules-2025-gDOxUjMtQWa</w:t>
      </w:r>
    </w:p>
    <w:p>
      <w:pPr>
        <w:pStyle w:val="ListBullet"/>
      </w:pPr>
      <w:r>
        <w:rPr>
          <w:b/>
        </w:rPr>
        <w:t xml:space="preserve">ESIC contribution rates: </w:t>
      </w:r>
      <w:r>
        <w:t>ESIC contribution page: https://esic.gov.in/contribution</w:t>
      </w:r>
    </w:p>
    <w:p>
      <w:pPr>
        <w:pStyle w:val="ListBullet"/>
      </w:pPr>
      <w:r>
        <w:rPr>
          <w:b/>
        </w:rPr>
        <w:t xml:space="preserve">ITR applicability for business/profession AY 2026-27: </w:t>
      </w:r>
      <w:r>
        <w:t>Income Tax e-filing portal: https://www.incometax.gov.in/iec/foportal/help/individual-business-profession</w:t>
      </w:r>
    </w:p>
    <w:p>
      <w:pPr>
        <w:pStyle w:val="ListBullet"/>
      </w:pPr>
      <w:r>
        <w:rPr>
          <w:b/>
        </w:rPr>
        <w:t xml:space="preserve">ITR-4 presumptive taxation FAQ: </w:t>
      </w:r>
      <w:r>
        <w:t>Income Tax e-filing portal ITR-4 FAQ: https://www.incometax.gov.in/iec/foportal/help/e-filing-itr4-form-sugam-faq</w:t>
      </w:r>
    </w:p>
    <w:p>
      <w:pPr>
        <w:pStyle w:val="Heading2"/>
      </w:pPr>
      <w:r>
        <w:t>Uploaded Source Documents Used</w:t>
      </w:r>
    </w:p>
    <w:p>
      <w:pPr>
        <w:pStyle w:val="ListBullet"/>
      </w:pPr>
      <w:r>
        <w:t>PEB_Product_Flow_and_User_Stories.docx - Receive, Pay, Dashboard, Installments, Reminders, Cost vs Margin Dashboard.</w:t>
      </w:r>
    </w:p>
    <w:p>
      <w:pPr>
        <w:pStyle w:val="ListBullet"/>
      </w:pPr>
      <w:r>
        <w:t>PEB_FRD.docx - Functional requirements for Customer, Invoice, Payroll, Vendor, Installment, Reminder, Dashboard, and NFRs.</w:t>
      </w:r>
    </w:p>
    <w:p>
      <w:pPr>
        <w:pStyle w:val="ListBullet"/>
      </w:pPr>
      <w:r>
        <w:t>PEB_SDLC_and_Technical_Requirements.docx - Existing microservices, database, API, security, sprint, testing, and deployment baseline.</w:t>
      </w:r>
    </w:p>
    <w:p>
      <w:pPr>
        <w:pStyle w:val="ListBullet"/>
      </w:pPr>
      <w:r>
        <w:t>PayWithEase Guide 1.docx - Existing frontend screen flow covering Auth, Dashboard, Payments, Commitments, Installments, Reminders, Margin, Payables, Invoices, Payroll, OCR, Voice, Reports, Settings.</w:t>
      </w:r>
    </w:p>
    <w:p>
      <w:pPr>
        <w:pStyle w:val="ListBullet"/>
      </w:pPr>
      <w:r>
        <w:t>PayWithEase PayWithEase Frontend.docx - Existing sprint-based frontend plan.</w:t>
      </w:r>
    </w:p>
    <w:p>
      <w:pPr>
        <w:pStyle w:val="ListBullet"/>
      </w:pPr>
      <w:r>
        <w:t>PEB product.docx - Original feature concept for Receive, Pay, Installment Engine, Reminder, Cost vs Margin, OCR, Profit dashboards.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PayWithEase Business OS - MSME FinTech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3D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3D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