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EBCED">
      <w:pPr>
        <w:spacing w:before="2400"/>
        <w:jc w:val="center"/>
        <w:rPr>
          <w:color w:val="auto"/>
        </w:rPr>
      </w:pPr>
      <w:r>
        <w:rPr>
          <w:rFonts w:ascii="Arial" w:hAnsi="Arial" w:eastAsia="Arial"/>
          <w:b/>
          <w:color w:val="auto"/>
          <w:sz w:val="48"/>
        </w:rPr>
        <w:t>INFORME TÉCNICO DE</w:t>
      </w:r>
      <w:r>
        <w:rPr>
          <w:rFonts w:ascii="Arial" w:hAnsi="Arial" w:eastAsia="Arial"/>
          <w:b/>
          <w:color w:val="auto"/>
          <w:sz w:val="48"/>
        </w:rPr>
        <w:br w:type="textWrapping"/>
      </w:r>
      <w:r>
        <w:rPr>
          <w:rFonts w:ascii="Arial" w:hAnsi="Arial" w:eastAsia="Arial"/>
          <w:b/>
          <w:color w:val="auto"/>
          <w:sz w:val="48"/>
        </w:rPr>
        <w:t>MEJORA DE CALIDAD Y PRUEBAS</w:t>
      </w:r>
    </w:p>
    <w:p w14:paraId="36AD276C">
      <w:pPr>
        <w:spacing w:before="200"/>
        <w:jc w:val="center"/>
      </w:pPr>
      <w:r>
        <w:rPr>
          <w:rFonts w:ascii="Arial" w:hAnsi="Arial" w:eastAsia="Arial"/>
          <w:b/>
          <w:color w:val="444444"/>
          <w:sz w:val="38"/>
        </w:rPr>
        <w:t>SISTEMA MICODENT</w:t>
      </w:r>
      <w:bookmarkStart w:id="0" w:name="_GoBack"/>
      <w:bookmarkEnd w:id="0"/>
    </w:p>
    <w:p w14:paraId="13BB5CAD">
      <w:pPr>
        <w:spacing w:before="360"/>
        <w:jc w:val="center"/>
      </w:pPr>
      <w:r>
        <w:rPr>
          <w:rFonts w:ascii="Arial" w:hAnsi="Arial" w:eastAsia="Arial"/>
          <w:i/>
          <w:color w:val="595959"/>
          <w:sz w:val="24"/>
        </w:rPr>
        <w:t>Análisis SonarQube, cobertura, pruebas automatizadas y Cypress E2E</w:t>
      </w:r>
    </w:p>
    <w:p w14:paraId="1C06D76A">
      <w:pPr>
        <w:jc w:val="center"/>
      </w:pPr>
      <w:r>
        <w:rPr>
          <w:rFonts w:ascii="Arial" w:hAnsi="Arial" w:eastAsia="Arial"/>
          <w:color w:val="B4BECD"/>
          <w:sz w:val="14"/>
        </w:rPr>
        <w:t>━━━━━━━━━━━━━━━━━━━━━━━━━━━━━━━━━━━━━━━━━━</w:t>
      </w:r>
    </w:p>
    <w:p w14:paraId="3F18D333">
      <w:pPr>
        <w:spacing w:after="80"/>
        <w:jc w:val="center"/>
      </w:pPr>
      <w:r>
        <w:rPr>
          <w:rFonts w:ascii="Arial" w:hAnsi="Arial" w:eastAsia="Arial"/>
          <w:b/>
          <w:color w:val="444444"/>
          <w:sz w:val="21"/>
        </w:rPr>
        <w:t xml:space="preserve">Proyecto: </w:t>
      </w:r>
      <w:r>
        <w:rPr>
          <w:rFonts w:ascii="Arial" w:hAnsi="Arial" w:eastAsia="Arial"/>
          <w:color w:val="444444"/>
          <w:sz w:val="21"/>
        </w:rPr>
        <w:t>MICODENT - Sistema de Gestión Odontológica</w:t>
      </w:r>
    </w:p>
    <w:p w14:paraId="606A319E">
      <w:pPr>
        <w:spacing w:after="80"/>
        <w:jc w:val="center"/>
      </w:pPr>
      <w:r>
        <w:rPr>
          <w:rFonts w:ascii="Arial" w:hAnsi="Arial" w:eastAsia="Arial"/>
          <w:b/>
          <w:color w:val="444444"/>
          <w:sz w:val="21"/>
        </w:rPr>
        <w:t xml:space="preserve">Fecha de elaboración: </w:t>
      </w:r>
      <w:r>
        <w:rPr>
          <w:rFonts w:ascii="Arial" w:hAnsi="Arial" w:eastAsia="Arial"/>
          <w:color w:val="444444"/>
          <w:sz w:val="21"/>
        </w:rPr>
        <w:t>4 de octubre de 2026, zona horaria America/Bogota (UTC-05:00)</w:t>
      </w:r>
    </w:p>
    <w:p w14:paraId="2813AA09">
      <w:pPr>
        <w:spacing w:after="80"/>
        <w:jc w:val="center"/>
      </w:pPr>
      <w:r>
        <w:rPr>
          <w:rFonts w:ascii="Arial" w:hAnsi="Arial" w:eastAsia="Arial"/>
          <w:b/>
          <w:color w:val="444444"/>
          <w:sz w:val="21"/>
        </w:rPr>
        <w:t xml:space="preserve">Base de código: </w:t>
      </w:r>
      <w:r>
        <w:rPr>
          <w:rFonts w:ascii="Arial" w:hAnsi="Arial" w:eastAsia="Arial"/>
          <w:color w:val="444444"/>
          <w:sz w:val="21"/>
        </w:rPr>
        <w:t>bbc15f187b1191169aafc3e8c651da38f9348f17 (bbc15f1), más cambios locales de calidad</w:t>
      </w:r>
    </w:p>
    <w:p w14:paraId="4FB90B7A">
      <w:pPr>
        <w:spacing w:before="360"/>
        <w:jc w:val="center"/>
      </w:pPr>
      <w:r>
        <w:rPr>
          <w:rFonts w:ascii="Arial" w:hAnsi="Arial" w:eastAsia="Arial"/>
          <w:i/>
          <w:color w:val="646464"/>
          <w:sz w:val="19"/>
        </w:rPr>
        <w:t>Estado de esta entrega: informe documental terminado; resultados locales validados anteriormente y contrastados con los artefactos disponibles.</w:t>
      </w:r>
    </w:p>
    <w:p w14:paraId="4B40FB11">
      <w:r>
        <w:br w:type="page"/>
      </w:r>
    </w:p>
    <w:p w14:paraId="213F3877">
      <w:pPr>
        <w:pStyle w:val="2"/>
      </w:pPr>
      <w:r>
        <w:t>Contenido</w:t>
      </w:r>
    </w:p>
    <w:p w14:paraId="7674AC70">
      <w:pPr>
        <w:spacing w:after="40"/>
        <w:ind w:left="0"/>
      </w:pPr>
      <w:r>
        <w:rPr>
          <w:rFonts w:ascii="Arial" w:hAnsi="Arial" w:eastAsia="Arial"/>
          <w:b/>
          <w:color w:val="1F4E79"/>
          <w:sz w:val="21"/>
        </w:rPr>
        <w:t>1. Resumen Ejecutivo</w:t>
      </w:r>
    </w:p>
    <w:p w14:paraId="4FC8C9C9">
      <w:pPr>
        <w:spacing w:after="40"/>
        <w:ind w:left="0"/>
      </w:pPr>
      <w:r>
        <w:rPr>
          <w:rFonts w:ascii="Arial" w:hAnsi="Arial" w:eastAsia="Arial"/>
          <w:b/>
          <w:color w:val="1F4E79"/>
          <w:sz w:val="21"/>
        </w:rPr>
        <w:t>2. Introducción</w:t>
      </w:r>
    </w:p>
    <w:p w14:paraId="0294FC0D">
      <w:pPr>
        <w:spacing w:after="40"/>
        <w:ind w:left="0"/>
      </w:pPr>
      <w:r>
        <w:rPr>
          <w:rFonts w:ascii="Arial" w:hAnsi="Arial" w:eastAsia="Arial"/>
          <w:b/>
          <w:color w:val="1F4E79"/>
          <w:sz w:val="21"/>
        </w:rPr>
        <w:t>3. Objetivos</w:t>
      </w:r>
    </w:p>
    <w:p w14:paraId="4861F5EF">
      <w:pPr>
        <w:spacing w:after="40"/>
        <w:ind w:left="397"/>
      </w:pPr>
      <w:r>
        <w:rPr>
          <w:rFonts w:ascii="Arial" w:hAnsi="Arial" w:eastAsia="Arial"/>
          <w:color w:val="595959"/>
          <w:sz w:val="19"/>
        </w:rPr>
        <w:t>3.1 Objetivo General</w:t>
      </w:r>
    </w:p>
    <w:p w14:paraId="6A7A46F0">
      <w:pPr>
        <w:spacing w:after="40"/>
        <w:ind w:left="397"/>
      </w:pPr>
      <w:r>
        <w:rPr>
          <w:rFonts w:ascii="Arial" w:hAnsi="Arial" w:eastAsia="Arial"/>
          <w:color w:val="595959"/>
          <w:sz w:val="19"/>
        </w:rPr>
        <w:t>3.2 Objetivos Específicos</w:t>
      </w:r>
    </w:p>
    <w:p w14:paraId="657ACF55">
      <w:pPr>
        <w:spacing w:after="40"/>
        <w:ind w:left="0"/>
      </w:pPr>
      <w:r>
        <w:rPr>
          <w:rFonts w:ascii="Arial" w:hAnsi="Arial" w:eastAsia="Arial"/>
          <w:b/>
          <w:color w:val="1F4E79"/>
          <w:sz w:val="21"/>
        </w:rPr>
        <w:t>4. Estado Inicial del Sistema</w:t>
      </w:r>
    </w:p>
    <w:p w14:paraId="37E1E7EB">
      <w:pPr>
        <w:spacing w:after="40"/>
        <w:ind w:left="0"/>
      </w:pPr>
      <w:r>
        <w:rPr>
          <w:rFonts w:ascii="Arial" w:hAnsi="Arial" w:eastAsia="Arial"/>
          <w:b/>
          <w:color w:val="1F4E79"/>
          <w:sz w:val="21"/>
        </w:rPr>
        <w:t>5. Metodología de Trabajo</w:t>
      </w:r>
    </w:p>
    <w:p w14:paraId="4CBF7EFE">
      <w:pPr>
        <w:spacing w:after="40"/>
        <w:ind w:left="0"/>
      </w:pPr>
      <w:r>
        <w:rPr>
          <w:rFonts w:ascii="Arial" w:hAnsi="Arial" w:eastAsia="Arial"/>
          <w:b/>
          <w:color w:val="1F4E79"/>
          <w:sz w:val="21"/>
        </w:rPr>
        <w:t>6. Remediación de SonarQube</w:t>
      </w:r>
    </w:p>
    <w:p w14:paraId="795B00FC">
      <w:pPr>
        <w:spacing w:after="40"/>
        <w:ind w:left="397"/>
      </w:pPr>
      <w:r>
        <w:rPr>
          <w:rFonts w:ascii="Arial" w:hAnsi="Arial" w:eastAsia="Arial"/>
          <w:color w:val="595959"/>
          <w:sz w:val="19"/>
        </w:rPr>
        <w:t>6.1 Procesamiento del Inventario E13</w:t>
      </w:r>
    </w:p>
    <w:p w14:paraId="6BCE5AF1">
      <w:pPr>
        <w:spacing w:after="40"/>
        <w:ind w:left="397"/>
      </w:pPr>
      <w:r>
        <w:rPr>
          <w:rFonts w:ascii="Arial" w:hAnsi="Arial" w:eastAsia="Arial"/>
          <w:color w:val="595959"/>
          <w:sz w:val="19"/>
        </w:rPr>
        <w:t>6.2 Reanálisis POST y Delta Final</w:t>
      </w:r>
    </w:p>
    <w:p w14:paraId="45B78126">
      <w:pPr>
        <w:spacing w:after="40"/>
        <w:ind w:left="397"/>
      </w:pPr>
      <w:r>
        <w:rPr>
          <w:rFonts w:ascii="Arial" w:hAnsi="Arial" w:eastAsia="Arial"/>
          <w:color w:val="595959"/>
          <w:sz w:val="19"/>
        </w:rPr>
        <w:t>6.3 S5693: Decisión Contextual</w:t>
      </w:r>
    </w:p>
    <w:p w14:paraId="6124F01B">
      <w:pPr>
        <w:spacing w:after="40"/>
        <w:ind w:left="397"/>
      </w:pPr>
      <w:r>
        <w:rPr>
          <w:rFonts w:ascii="Arial" w:hAnsi="Arial" w:eastAsia="Arial"/>
          <w:color w:val="595959"/>
          <w:sz w:val="19"/>
        </w:rPr>
        <w:t>6.4 Estado Final Verificado de Sonar</w:t>
      </w:r>
    </w:p>
    <w:p w14:paraId="06D7B036">
      <w:pPr>
        <w:spacing w:after="40"/>
        <w:ind w:left="397"/>
      </w:pPr>
      <w:r>
        <w:rPr>
          <w:rFonts w:ascii="Arial" w:hAnsi="Arial" w:eastAsia="Arial"/>
          <w:color w:val="595959"/>
          <w:sz w:val="19"/>
        </w:rPr>
        <w:t>6.5 Historial de Ejecuciones SonarQube</w:t>
      </w:r>
    </w:p>
    <w:p w14:paraId="2B2810D5">
      <w:pPr>
        <w:spacing w:after="40"/>
        <w:ind w:left="0"/>
      </w:pPr>
      <w:r>
        <w:rPr>
          <w:rFonts w:ascii="Arial" w:hAnsi="Arial" w:eastAsia="Arial"/>
          <w:b/>
          <w:color w:val="1F4E79"/>
          <w:sz w:val="21"/>
        </w:rPr>
        <w:t>7. Implementación de Pruebas Automatizadas</w:t>
      </w:r>
    </w:p>
    <w:p w14:paraId="193C7506">
      <w:pPr>
        <w:spacing w:after="40"/>
        <w:ind w:left="397"/>
      </w:pPr>
      <w:r>
        <w:rPr>
          <w:rFonts w:ascii="Arial" w:hAnsi="Arial" w:eastAsia="Arial"/>
          <w:color w:val="595959"/>
          <w:sz w:val="19"/>
        </w:rPr>
        <w:t>7.1 Catálogo Académico</w:t>
      </w:r>
    </w:p>
    <w:p w14:paraId="21BAA353">
      <w:pPr>
        <w:spacing w:after="40"/>
        <w:ind w:left="397"/>
      </w:pPr>
      <w:r>
        <w:rPr>
          <w:rFonts w:ascii="Arial" w:hAnsi="Arial" w:eastAsia="Arial"/>
          <w:color w:val="595959"/>
          <w:sz w:val="19"/>
        </w:rPr>
        <w:t>7.2 Secuencia y Alcance</w:t>
      </w:r>
    </w:p>
    <w:p w14:paraId="2DEB22A4">
      <w:pPr>
        <w:spacing w:after="40"/>
        <w:ind w:left="0"/>
      </w:pPr>
      <w:r>
        <w:rPr>
          <w:rFonts w:ascii="Arial" w:hAnsi="Arial" w:eastAsia="Arial"/>
          <w:b/>
          <w:color w:val="1F4E79"/>
          <w:sz w:val="21"/>
        </w:rPr>
        <w:t>8. Pruebas Cypress E2E</w:t>
      </w:r>
    </w:p>
    <w:p w14:paraId="77EA824C">
      <w:pPr>
        <w:spacing w:after="40"/>
        <w:ind w:left="0"/>
      </w:pPr>
      <w:r>
        <w:rPr>
          <w:rFonts w:ascii="Arial" w:hAnsi="Arial" w:eastAsia="Arial"/>
          <w:b/>
          <w:color w:val="1F4E79"/>
          <w:sz w:val="21"/>
        </w:rPr>
        <w:t>9. Mejora de Cobertura</w:t>
      </w:r>
    </w:p>
    <w:p w14:paraId="6F89E780">
      <w:pPr>
        <w:spacing w:after="40"/>
        <w:ind w:left="397"/>
      </w:pPr>
      <w:r>
        <w:rPr>
          <w:rFonts w:ascii="Arial" w:hAnsi="Arial" w:eastAsia="Arial"/>
          <w:color w:val="595959"/>
          <w:sz w:val="19"/>
        </w:rPr>
        <w:t>9.1 Generación e Importación</w:t>
      </w:r>
    </w:p>
    <w:p w14:paraId="351D5232">
      <w:pPr>
        <w:spacing w:after="40"/>
        <w:ind w:left="397"/>
      </w:pPr>
      <w:r>
        <w:rPr>
          <w:rFonts w:ascii="Arial" w:hAnsi="Arial" w:eastAsia="Arial"/>
          <w:color w:val="595959"/>
          <w:sz w:val="19"/>
        </w:rPr>
        <w:t>9.2 Evolución Sonar</w:t>
      </w:r>
    </w:p>
    <w:p w14:paraId="6E764C6E">
      <w:pPr>
        <w:spacing w:after="40"/>
        <w:ind w:left="397"/>
      </w:pPr>
      <w:r>
        <w:rPr>
          <w:rFonts w:ascii="Arial" w:hAnsi="Arial" w:eastAsia="Arial"/>
          <w:color w:val="595959"/>
          <w:sz w:val="19"/>
        </w:rPr>
        <w:t>9.3 Cobertura Local Final Verificada</w:t>
      </w:r>
    </w:p>
    <w:p w14:paraId="151D9B18">
      <w:pPr>
        <w:spacing w:after="40"/>
        <w:ind w:left="397"/>
      </w:pPr>
      <w:r>
        <w:rPr>
          <w:rFonts w:ascii="Arial" w:hAnsi="Arial" w:eastAsia="Arial"/>
          <w:color w:val="595959"/>
          <w:sz w:val="19"/>
        </w:rPr>
        <w:t>9.4 Lote COV-G1 y Problema del Runner</w:t>
      </w:r>
    </w:p>
    <w:p w14:paraId="59380E0F">
      <w:pPr>
        <w:spacing w:after="40"/>
        <w:ind w:left="0"/>
      </w:pPr>
      <w:r>
        <w:rPr>
          <w:rFonts w:ascii="Arial" w:hAnsi="Arial" w:eastAsia="Arial"/>
          <w:b/>
          <w:color w:val="1F4E79"/>
          <w:sz w:val="21"/>
        </w:rPr>
        <w:t>10. Reducción de Duplicación</w:t>
      </w:r>
    </w:p>
    <w:p w14:paraId="55CBA39B">
      <w:pPr>
        <w:spacing w:after="40"/>
        <w:ind w:left="0"/>
      </w:pPr>
      <w:r>
        <w:rPr>
          <w:rFonts w:ascii="Arial" w:hAnsi="Arial" w:eastAsia="Arial"/>
          <w:b/>
          <w:color w:val="1F4E79"/>
          <w:sz w:val="21"/>
        </w:rPr>
        <w:t>11. Resultados Finales</w:t>
      </w:r>
    </w:p>
    <w:p w14:paraId="7D9F02FA">
      <w:pPr>
        <w:spacing w:after="40"/>
        <w:ind w:left="0"/>
      </w:pPr>
      <w:r>
        <w:rPr>
          <w:rFonts w:ascii="Arial" w:hAnsi="Arial" w:eastAsia="Arial"/>
          <w:b/>
          <w:color w:val="1F4E79"/>
          <w:sz w:val="21"/>
        </w:rPr>
        <w:t>12. Comparación Antes / Después</w:t>
      </w:r>
    </w:p>
    <w:p w14:paraId="44BA7CC9">
      <w:pPr>
        <w:spacing w:after="40"/>
        <w:ind w:left="0"/>
      </w:pPr>
      <w:r>
        <w:rPr>
          <w:rFonts w:ascii="Arial" w:hAnsi="Arial" w:eastAsia="Arial"/>
          <w:b/>
          <w:color w:val="1F4E79"/>
          <w:sz w:val="21"/>
        </w:rPr>
        <w:t>13. Análisis de Resultados</w:t>
      </w:r>
    </w:p>
    <w:p w14:paraId="19EF7551">
      <w:pPr>
        <w:spacing w:after="40"/>
        <w:ind w:left="0"/>
      </w:pPr>
      <w:r>
        <w:rPr>
          <w:rFonts w:ascii="Arial" w:hAnsi="Arial" w:eastAsia="Arial"/>
          <w:b/>
          <w:color w:val="1F4E79"/>
          <w:sz w:val="21"/>
        </w:rPr>
        <w:t>14. Limitaciones</w:t>
      </w:r>
    </w:p>
    <w:p w14:paraId="22AEF38A">
      <w:pPr>
        <w:spacing w:after="40"/>
        <w:ind w:left="397"/>
      </w:pPr>
      <w:r>
        <w:rPr>
          <w:rFonts w:ascii="Arial" w:hAnsi="Arial" w:eastAsia="Arial"/>
          <w:color w:val="595959"/>
          <w:sz w:val="19"/>
        </w:rPr>
        <w:t>14.1 Discrepancias Documentales</w:t>
      </w:r>
    </w:p>
    <w:p w14:paraId="14EBFE1A">
      <w:pPr>
        <w:spacing w:after="40"/>
        <w:ind w:left="0"/>
      </w:pPr>
      <w:r>
        <w:rPr>
          <w:rFonts w:ascii="Arial" w:hAnsi="Arial" w:eastAsia="Arial"/>
          <w:b/>
          <w:color w:val="1F4E79"/>
          <w:sz w:val="21"/>
        </w:rPr>
        <w:t>15. Conclusiones</w:t>
      </w:r>
    </w:p>
    <w:p w14:paraId="740351AC">
      <w:pPr>
        <w:spacing w:after="40"/>
        <w:ind w:left="0"/>
      </w:pPr>
      <w:r>
        <w:rPr>
          <w:rFonts w:ascii="Arial" w:hAnsi="Arial" w:eastAsia="Arial"/>
          <w:b/>
          <w:color w:val="1F4E79"/>
          <w:sz w:val="21"/>
        </w:rPr>
        <w:t>16. Recomendaciones</w:t>
      </w:r>
    </w:p>
    <w:p w14:paraId="6E18DB33">
      <w:pPr>
        <w:spacing w:after="40"/>
        <w:ind w:left="0"/>
      </w:pPr>
      <w:r>
        <w:rPr>
          <w:rFonts w:ascii="Arial" w:hAnsi="Arial" w:eastAsia="Arial"/>
          <w:b/>
          <w:color w:val="1F4E79"/>
          <w:sz w:val="21"/>
        </w:rPr>
        <w:t>17. Evidencias y Anexos</w:t>
      </w:r>
    </w:p>
    <w:p w14:paraId="4E432A47">
      <w:pPr>
        <w:spacing w:after="40"/>
        <w:ind w:left="397"/>
      </w:pPr>
      <w:r>
        <w:rPr>
          <w:rFonts w:ascii="Arial" w:hAnsi="Arial" w:eastAsia="Arial"/>
          <w:color w:val="595959"/>
          <w:sz w:val="19"/>
        </w:rPr>
        <w:t>17.1 Ubicaciones y Fuentes</w:t>
      </w:r>
    </w:p>
    <w:p w14:paraId="1D807471">
      <w:pPr>
        <w:spacing w:after="40"/>
        <w:ind w:left="397"/>
      </w:pPr>
      <w:r>
        <w:rPr>
          <w:rFonts w:ascii="Arial" w:hAnsi="Arial" w:eastAsia="Arial"/>
          <w:color w:val="595959"/>
          <w:sz w:val="19"/>
        </w:rPr>
        <w:t>17.2 Integridad de Artefactos</w:t>
      </w:r>
    </w:p>
    <w:p w14:paraId="17CF8C57">
      <w:pPr>
        <w:spacing w:after="40"/>
        <w:ind w:left="397"/>
      </w:pPr>
      <w:r>
        <w:rPr>
          <w:rFonts w:ascii="Arial" w:hAnsi="Arial" w:eastAsia="Arial"/>
          <w:color w:val="595959"/>
          <w:sz w:val="19"/>
        </w:rPr>
        <w:t>17.3 Datos Preparados para Gráficos Posteriores</w:t>
      </w:r>
    </w:p>
    <w:p w14:paraId="7F6BACE1">
      <w:pPr>
        <w:spacing w:after="40"/>
        <w:ind w:left="397"/>
      </w:pPr>
      <w:r>
        <w:rPr>
          <w:rFonts w:ascii="Arial" w:hAnsi="Arial" w:eastAsia="Arial"/>
          <w:color w:val="595959"/>
          <w:sz w:val="19"/>
        </w:rPr>
        <w:t>17.4 Verificación de la Elaboración</w:t>
      </w:r>
    </w:p>
    <w:p w14:paraId="059A28FC">
      <w:r>
        <w:br w:type="page"/>
      </w:r>
    </w:p>
    <w:p w14:paraId="75682E2E">
      <w:pPr>
        <w:pStyle w:val="2"/>
        <w:pBdr>
          <w:bottom w:val="single" w:color="D9E2F3" w:sz="6" w:space="2"/>
        </w:pBdr>
      </w:pPr>
      <w:r>
        <w:t>1. Resumen Ejecutivo</w:t>
      </w:r>
    </w:p>
    <w:p w14:paraId="06135D2D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 xml:space="preserve">MICODENT fue sometido a una remediación progresiva del código, seguida por pruebas automatizadas, integración de cobertura LCOV, una capa Cypress E2E y extracciones de componentes duplicados de bajo riesgo. El inventario inicial contiene </w:t>
      </w:r>
      <w:r>
        <w:rPr>
          <w:rFonts w:ascii="Arial" w:hAnsi="Arial" w:eastAsia="Arial"/>
          <w:b/>
          <w:color w:val="000000"/>
          <w:sz w:val="22"/>
        </w:rPr>
        <w:t>371 issues únicos</w:t>
      </w:r>
      <w:r>
        <w:rPr>
          <w:rFonts w:ascii="Arial" w:hAnsi="Arial" w:eastAsia="Arial"/>
          <w:color w:val="000000"/>
          <w:sz w:val="22"/>
        </w:rPr>
        <w:t>: 204 MINOR, 154 MAJOR, 11 CRITICAL y 2 BLOCKER. Los siete lotes de remediación contienen exactamente las mismas 371 claves, sin ausencias ni duplicados.</w:t>
      </w:r>
    </w:p>
    <w:p w14:paraId="0717DF8B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 xml:space="preserve">El reanálisis POST produjo 84 issues únicos. Su registro de trabajo documenta 83 correcciones y una revisión contextual, S5693. Las evidencias finales TEST10 verifican </w:t>
      </w:r>
      <w:r>
        <w:rPr>
          <w:rFonts w:ascii="Arial" w:hAnsi="Arial" w:eastAsia="Arial"/>
          <w:b/>
          <w:color w:val="000000"/>
          <w:sz w:val="22"/>
        </w:rPr>
        <w:t>Quality Gate PASSED, cero issues abiertos, un issue contextual aceptado, 81.4% de cobertura global, 97.4% de cobertura de código nuevo, 3.4% de duplicación global y 0.0% de duplicación nueva</w:t>
      </w:r>
      <w:r>
        <w:rPr>
          <w:rFonts w:ascii="Arial" w:hAnsi="Arial" w:eastAsia="Arial"/>
          <w:color w:val="000000"/>
          <w:sz w:val="22"/>
        </w:rPr>
        <w:t>.</w:t>
      </w:r>
    </w:p>
    <w:p w14:paraId="6EDB294A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 xml:space="preserve">Las últimas validaciones locales registran </w:t>
      </w:r>
      <w:r>
        <w:rPr>
          <w:rFonts w:ascii="Arial" w:hAnsi="Arial" w:eastAsia="Arial"/>
          <w:b/>
          <w:color w:val="000000"/>
          <w:sz w:val="22"/>
        </w:rPr>
        <w:t>151/151 pruebas frontend, 130/130 backend, 10/10 Cypress y build PASS</w:t>
      </w:r>
      <w:r>
        <w:rPr>
          <w:rFonts w:ascii="Arial" w:hAnsi="Arial" w:eastAsia="Arial"/>
          <w:color w:val="000000"/>
          <w:sz w:val="22"/>
        </w:rPr>
        <w:t>. Se verificaron físicamente ambos LCOV, sus métricas, las 60 fichas académicas únicas y el resultado estructurado de Cypress. No se detectaron regresiones en las pruebas ejecutadas.</w:t>
      </w:r>
    </w:p>
    <w:p w14:paraId="001A9887">
      <w:pPr>
        <w:spacing w:after="120" w:line="276" w:lineRule="auto"/>
        <w:ind w:firstLine="283"/>
        <w:jc w:val="both"/>
      </w:pPr>
      <w:r>
        <w:rPr>
          <w:rFonts w:ascii="Arial" w:hAnsi="Arial" w:eastAsia="Arial"/>
          <w:b/>
          <w:color w:val="000000"/>
          <w:sz w:val="22"/>
        </w:rPr>
        <w:t>Consolidación posterior de evidencia:</w:t>
      </w:r>
      <w:r>
        <w:rPr>
          <w:rFonts w:ascii="Arial" w:hAnsi="Arial" w:eastAsia="Arial"/>
          <w:color w:val="000000"/>
          <w:sz w:val="22"/>
        </w:rPr>
        <w:t xml:space="preserve"> se revisaron 28 archivos de diez conjuntos TEST1-TEST10 y se creó el índice maestro E19. El CSV denominado FINAL refleja un estado intermedio con S5693 OPEN; la captura individual TEST3 muestra su aceptación contextual y las vistas finales TEST10 muestran cero abiertos y un aceptado Overall. La discrepancia queda resuelta sin alterar los originales. La estimación LCOV de 81.4054% se mantiene separada de la medición Sonar de 81.4%, ahora verificada por PDF y capturas. Algunos hitos iniciales siguen sin respaldo visual propio y se identifican como C/NV.</w:t>
      </w:r>
    </w:p>
    <w:p w14:paraId="2636E77A">
      <w:pPr>
        <w:pStyle w:val="2"/>
        <w:pBdr>
          <w:bottom w:val="single" w:color="D9E2F3" w:sz="6" w:space="2"/>
        </w:pBdr>
      </w:pPr>
      <w:r>
        <w:t>2. Introducción</w:t>
      </w:r>
    </w:p>
    <w:p w14:paraId="1EBFD725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MICODENT es una aplicación de gestión odontológica con frontend React, backend Node.js/Express y persistencia MySQL. La fase aquí descrita aborda calidad estática, mantenibilidad, accesibilidad, pruebas y medición de cobertura. No documenta una nueva implantación en la clínica ni una adaptación universitaria.</w:t>
      </w:r>
    </w:p>
    <w:p w14:paraId="23E1F998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Un análisis estático, una suite de regresión y un Quality Gate ofrecen evidencias diferentes. El primero identifica patrones del código; las pruebas verifican comportamientos bajo condiciones definidas; el Gate evalúa umbrales configurados en un análisis concreto. Ninguno demuestra por sí solo ausencia de defectos o aptitud integral para producción.</w:t>
      </w:r>
    </w:p>
    <w:p w14:paraId="6CBF72EF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Las fuentes y artefactos se identifican en la sección 17. Para evitar confundir hechos con declaraciones, se utilizan estos niveles: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1FC82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8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A78D3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Código</w:t>
            </w:r>
          </w:p>
        </w:tc>
        <w:tc>
          <w:tcPr>
            <w:tcW w:w="498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3235CB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Significado</w:t>
            </w:r>
          </w:p>
        </w:tc>
      </w:tr>
      <w:tr w14:paraId="0EEA8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8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97CE4D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</w:t>
            </w:r>
          </w:p>
        </w:tc>
        <w:tc>
          <w:tcPr>
            <w:tcW w:w="498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D07A4F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Verificado en un artefacto disponible durante elaboración/consolidación: CSV, JSON, LCOV, PDF, captura o archivo.</w:t>
            </w:r>
          </w:p>
        </w:tc>
      </w:tr>
      <w:tr w14:paraId="365F8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5F1F09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D</w:t>
            </w:r>
          </w:p>
        </w:tc>
        <w:tc>
          <w:tcPr>
            <w:tcW w:w="498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F83511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Documentado en un registro de ejecución previo; no repetido durante esta entrega.</w:t>
            </w:r>
          </w:p>
        </w:tc>
      </w:tr>
      <w:tr w14:paraId="24E95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8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455FF20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</w:t>
            </w:r>
          </w:p>
        </w:tc>
        <w:tc>
          <w:tcPr>
            <w:tcW w:w="498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5DD7FBD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Comunicado por el propietario en la solicitud o conservado como confirmación en los documentos.</w:t>
            </w:r>
          </w:p>
        </w:tc>
      </w:tr>
      <w:tr w14:paraId="356FB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DE3DA28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</w:t>
            </w:r>
          </w:p>
        </w:tc>
        <w:tc>
          <w:tcPr>
            <w:tcW w:w="498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01D8FC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Estimación local, no medición oficial de SonarQube.</w:t>
            </w:r>
          </w:p>
        </w:tc>
      </w:tr>
      <w:tr w14:paraId="1D871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8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C38D69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NV</w:t>
            </w:r>
          </w:p>
        </w:tc>
        <w:tc>
          <w:tcPr>
            <w:tcW w:w="498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85DCDDE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No verificado de forma independiente con la evidencia disponible.</w:t>
            </w:r>
          </w:p>
        </w:tc>
      </w:tr>
    </w:tbl>
    <w:p w14:paraId="7F5C696C">
      <w:pPr>
        <w:spacing w:after="40"/>
      </w:pPr>
    </w:p>
    <w:p w14:paraId="3E15AE65">
      <w:pPr>
        <w:pStyle w:val="2"/>
        <w:pBdr>
          <w:bottom w:val="single" w:color="D9E2F3" w:sz="6" w:space="2"/>
        </w:pBdr>
      </w:pPr>
      <w:r>
        <w:t>3. Objetivos</w:t>
      </w:r>
    </w:p>
    <w:p w14:paraId="36CC6633">
      <w:pPr>
        <w:pStyle w:val="3"/>
      </w:pPr>
      <w:r>
        <w:t>3.1 Objetivo General</w:t>
      </w:r>
    </w:p>
    <w:p w14:paraId="3B177C7A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Consolidar un informe trazable del estado antes y después de la mejora de calidad de MICODENT, conservando la diferencia entre resultados automatizados, mediciones Sonar, decisiones contextuales y limitaciones pendientes.</w:t>
      </w:r>
    </w:p>
    <w:p w14:paraId="1E6CA161">
      <w:pPr>
        <w:pStyle w:val="3"/>
      </w:pPr>
      <w:r>
        <w:t>3.2 Objetivos Específicos</w:t>
      </w:r>
    </w:p>
    <w:p w14:paraId="6B3D99EF">
      <w:pPr>
        <w:pStyle w:val="29"/>
        <w:spacing w:after="40" w:line="259" w:lineRule="auto"/>
      </w:pPr>
      <w:r>
        <w:rPr>
          <w:rFonts w:ascii="Arial" w:hAnsi="Arial" w:eastAsia="Arial"/>
          <w:color w:val="000000"/>
          <w:sz w:val="21"/>
        </w:rPr>
        <w:t>Contrastar los 371 issues iniciales con los lotes de remediación y el delta POST.</w:t>
      </w:r>
    </w:p>
    <w:p w14:paraId="6DC230C1">
      <w:pPr>
        <w:pStyle w:val="29"/>
        <w:spacing w:after="40" w:line="259" w:lineRule="auto"/>
      </w:pPr>
      <w:r>
        <w:rPr>
          <w:rFonts w:ascii="Arial" w:hAnsi="Arial" w:eastAsia="Arial"/>
          <w:color w:val="000000"/>
          <w:sz w:val="21"/>
        </w:rPr>
        <w:t>Documentar los 60 casos académicos, sin atribuirles un proceso TDD que no ocurrió.</w:t>
      </w:r>
    </w:p>
    <w:p w14:paraId="3B14B602">
      <w:pPr>
        <w:pStyle w:val="29"/>
        <w:spacing w:after="40" w:line="259" w:lineRule="auto"/>
      </w:pPr>
      <w:r>
        <w:rPr>
          <w:rFonts w:ascii="Arial" w:hAnsi="Arial" w:eastAsia="Arial"/>
          <w:color w:val="000000"/>
          <w:sz w:val="21"/>
        </w:rPr>
        <w:t>Presentar las 10 pruebas Cypress como una capa adicional con datos simulados.</w:t>
      </w:r>
    </w:p>
    <w:p w14:paraId="3C0BE6EB">
      <w:pPr>
        <w:pStyle w:val="29"/>
        <w:spacing w:after="40" w:line="259" w:lineRule="auto"/>
      </w:pPr>
      <w:r>
        <w:rPr>
          <w:rFonts w:ascii="Arial" w:hAnsi="Arial" w:eastAsia="Arial"/>
          <w:color w:val="000000"/>
          <w:sz w:val="21"/>
        </w:rPr>
        <w:t>Describir la evolución de cobertura y verificar los LCOV finales.</w:t>
      </w:r>
    </w:p>
    <w:p w14:paraId="6F1A93FA">
      <w:pPr>
        <w:pStyle w:val="29"/>
        <w:spacing w:after="40" w:line="259" w:lineRule="auto"/>
      </w:pPr>
      <w:r>
        <w:rPr>
          <w:rFonts w:ascii="Arial" w:hAnsi="Arial" w:eastAsia="Arial"/>
          <w:color w:val="000000"/>
          <w:sz w:val="21"/>
        </w:rPr>
        <w:t>Justificar las extracciones de duplicación y los grupos conservados por riesgo.</w:t>
      </w:r>
    </w:p>
    <w:p w14:paraId="31D78DB4">
      <w:pPr>
        <w:pStyle w:val="29"/>
        <w:spacing w:after="40" w:line="259" w:lineRule="auto"/>
      </w:pPr>
      <w:r>
        <w:rPr>
          <w:rFonts w:ascii="Arial" w:hAnsi="Arial" w:eastAsia="Arial"/>
          <w:color w:val="000000"/>
          <w:sz w:val="21"/>
        </w:rPr>
        <w:t>Registrar resultados de regresión, discrepancias y recomendaciones para completar la evidencia de entrega.</w:t>
      </w:r>
    </w:p>
    <w:p w14:paraId="2B757533">
      <w:pPr>
        <w:pStyle w:val="2"/>
        <w:pBdr>
          <w:bottom w:val="single" w:color="D9E2F3" w:sz="6" w:space="2"/>
        </w:pBdr>
      </w:pPr>
      <w:r>
        <w:t>4. Estado Inicial del Sistema</w:t>
      </w:r>
    </w:p>
    <w:p w14:paraId="78E6B759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 xml:space="preserve">El CSV E13 original contiene 371 filas y 371 claves únicas del proyecto Sonar </w:t>
      </w:r>
      <w:r>
        <w:rPr>
          <w:rFonts w:ascii="Consolas" w:hAnsi="Consolas" w:eastAsia="Consolas"/>
          <w:color w:val="303030"/>
          <w:sz w:val="21"/>
        </w:rPr>
        <w:t>micodent-e13</w:t>
      </w:r>
      <w:r>
        <w:rPr>
          <w:rFonts w:ascii="Arial" w:hAnsi="Arial" w:eastAsia="Arial"/>
          <w:color w:val="000000"/>
          <w:sz w:val="22"/>
        </w:rPr>
        <w:t>. Su distribución, verificada mediante lectura estructurada, es: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F460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87DACE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Severidad</w:t>
            </w:r>
          </w:p>
        </w:tc>
        <w:tc>
          <w:tcPr>
            <w:tcW w:w="33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80252D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Issues</w:t>
            </w:r>
          </w:p>
        </w:tc>
        <w:tc>
          <w:tcPr>
            <w:tcW w:w="33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53F927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Porcentaje del total</w:t>
            </w:r>
          </w:p>
        </w:tc>
      </w:tr>
      <w:tr w14:paraId="09714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352CB60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MINOR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A818288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204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7C51DA0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55.0%</w:t>
            </w:r>
          </w:p>
        </w:tc>
      </w:tr>
      <w:tr w14:paraId="3B477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BD7BFEC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MAJOR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E9BBE79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154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DCF5078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41.5%</w:t>
            </w:r>
          </w:p>
        </w:tc>
      </w:tr>
      <w:tr w14:paraId="79845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69BD43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CRITICAL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6EB2161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11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186A863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3.0%</w:t>
            </w:r>
          </w:p>
        </w:tc>
      </w:tr>
      <w:tr w14:paraId="18AD8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703FF6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BLOCKER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FFC215F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2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ECC9A5D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0.5%</w:t>
            </w:r>
          </w:p>
        </w:tc>
      </w:tr>
      <w:tr w14:paraId="4B630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42A4A36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Total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ED7BEB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371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C4BF14C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100.0%</w:t>
            </w:r>
          </w:p>
        </w:tc>
      </w:tr>
    </w:tbl>
    <w:p w14:paraId="716D12AA">
      <w:pPr>
        <w:spacing w:after="40"/>
      </w:pPr>
    </w:p>
    <w:p w14:paraId="172EF438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 xml:space="preserve">La referencia inicial conocida es </w:t>
      </w:r>
      <w:r>
        <w:rPr>
          <w:rFonts w:ascii="Consolas" w:hAnsi="Consolas" w:eastAsia="Consolas"/>
          <w:color w:val="303030"/>
          <w:sz w:val="21"/>
        </w:rPr>
        <w:t>bbc15f1</w:t>
      </w:r>
      <w:r>
        <w:rPr>
          <w:rFonts w:ascii="Arial" w:hAnsi="Arial" w:eastAsia="Arial"/>
          <w:color w:val="000000"/>
          <w:sz w:val="22"/>
        </w:rPr>
        <w:t>. La cobertura Sonar inicial E13 de 0.0% y la duplicación de 6.2% fueron aportadas por el propietario; ni el CSV ni el PDF TEST1 muestran esas medidas. Se conservan como C/NV. El PDF TEST1 sí verifica Security 2, Reliability 138 y Maintainability 313, con fecha interna 29 de septiembre de 2026, 21:50. Su fecha de archivo del 3 de octubre corresponde a copia/guardado, no al análisis inicial. El filtro Passed 1 / Failed 0 muestra Gate aprobado para el único proyecto listado.</w:t>
      </w:r>
    </w:p>
    <w:p w14:paraId="7B4D64C4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El 0.0% inicial de cobertura reportada no demuestra inexistencia de pruebas: las suites ya estaban presentes y posteriormente se configuró la generación e importación de LCOV. No existe en las fuentes consultadas una ejecución inequívoca de ambas suites anterior a toda Familia 1. El primer control de esa familia registra frontend 28/28 PASS, backend 85/86 y build PASS; luego el backend se valida 86/86 al aislar TEMP/TMP.</w:t>
      </w:r>
    </w:p>
    <w:p w14:paraId="39E08AF7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 xml:space="preserve">El fallo Windows 85/86 estaba relacionado con una fixture CommonJS interpretada como ESM por un </w:t>
      </w:r>
      <w:r>
        <w:rPr>
          <w:rFonts w:ascii="Consolas" w:hAnsi="Consolas" w:eastAsia="Consolas"/>
          <w:color w:val="303030"/>
          <w:sz w:val="21"/>
        </w:rPr>
        <w:t>package.json</w:t>
      </w:r>
      <w:r>
        <w:rPr>
          <w:rFonts w:ascii="Arial" w:hAnsi="Arial" w:eastAsia="Arial"/>
          <w:color w:val="000000"/>
          <w:sz w:val="22"/>
        </w:rPr>
        <w:t xml:space="preserve"> externo en TEMP. El registro demuestra que no era una regresión de Familia 1; la validación se realizó con una carpeta temporal aislada, sin alterar el archivo externo ni el lanzador.</w:t>
      </w:r>
    </w:p>
    <w:p w14:paraId="0DACDD25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 xml:space="preserve">El proyecto POST utiliza la clave </w:t>
      </w:r>
      <w:r>
        <w:rPr>
          <w:rFonts w:ascii="Consolas" w:hAnsi="Consolas" w:eastAsia="Consolas"/>
          <w:color w:val="303030"/>
          <w:sz w:val="21"/>
        </w:rPr>
        <w:t>micodent-post</w:t>
      </w:r>
      <w:r>
        <w:rPr>
          <w:rFonts w:ascii="Arial" w:hAnsi="Arial" w:eastAsia="Arial"/>
          <w:color w:val="000000"/>
          <w:sz w:val="22"/>
        </w:rPr>
        <w:t>. La comparación E13/POST representa una secuencia de intervención sobre la referencia de código, no una misma serie histórica del servidor garantizada por conservar idéntica clave de proyecto.</w:t>
      </w:r>
    </w:p>
    <w:p w14:paraId="3A50FC9C">
      <w:pPr>
        <w:pStyle w:val="2"/>
        <w:pBdr>
          <w:bottom w:val="single" w:color="D9E2F3" w:sz="6" w:space="2"/>
        </w:pBdr>
      </w:pPr>
      <w:r>
        <w:t>5. Metodología de Trabajo</w:t>
      </w:r>
    </w:p>
    <w:p w14:paraId="107B1971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La intervención siguió lotes acotados: selección de reglas o módulos, análisis de impacto, cambio mínimo, pruebas relacionadas, regresión proporcional, build cuando correspondía y checkpoint documental. Se conservaron cambios previos del workspace y no se utilizaron restauraciones globales de Git para descartar trabajo.</w:t>
      </w:r>
    </w:p>
    <w:p w14:paraId="7879FD5E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La preservación se comprobó mediante pruebas de comportamiento y, en las extracciones relevantes, equivalencia AST y huellas de fuentes. Estas guardas estructurales son complementarias: no se acreditan como ejecución clínica del componente ni sustituyen assertions de comportamiento.</w:t>
      </w:r>
    </w:p>
    <w:p w14:paraId="13B0FAA1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Los tests frontend ejecutan componentes reales con React Testing Library, jsdom y transformación JSX mediante Babel. Los tests backend ejecutan servicios/controladores reales y, según el caso, Express con fetch; las dependencias SQL y datos externos se simulan. Las pruebas de navegador utilizan Edge mediante Playwright o Cypress, según la capa. Axios se ejercita en los contratos e interceptores correspondientes.</w:t>
      </w:r>
    </w:p>
    <w:p w14:paraId="64411CBF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La evidencia clínica empleada es sintética. Las mutaciones de Cypress ocurren en fixtures en memoria; el servidor E2E no reenvía peticiones al backend clínico. En pruebas de archivos se utilizan bytes ficticios y directorios temporales. No se realizaron conexiones a MySQL/MariaDB clínica para las validaciones de esta fase documentadas como aisladas.</w:t>
      </w:r>
    </w:p>
    <w:p w14:paraId="1FBE6AD6">
      <w:r>
        <w:br w:type="page"/>
      </w:r>
    </w:p>
    <w:p w14:paraId="23F9CD3A">
      <w:pPr>
        <w:pStyle w:val="2"/>
        <w:pBdr>
          <w:bottom w:val="single" w:color="D9E2F3" w:sz="6" w:space="2"/>
        </w:pBdr>
      </w:pPr>
      <w:r>
        <w:t>6. Remediación de SonarQube</w:t>
      </w:r>
    </w:p>
    <w:p w14:paraId="0881091F">
      <w:pPr>
        <w:pStyle w:val="3"/>
      </w:pPr>
      <w:r>
        <w:t>6.1 Procesamiento del Inventario E13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2B3EF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9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390371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Lote</w:t>
            </w:r>
          </w:p>
        </w:tc>
        <w:tc>
          <w:tcPr>
            <w:tcW w:w="249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679FF1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Issues</w:t>
            </w:r>
          </w:p>
        </w:tc>
        <w:tc>
          <w:tcPr>
            <w:tcW w:w="249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0F70C6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Intervención principal</w:t>
            </w:r>
          </w:p>
        </w:tc>
        <w:tc>
          <w:tcPr>
            <w:tcW w:w="249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405B06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Evidencia</w:t>
            </w:r>
          </w:p>
        </w:tc>
      </w:tr>
      <w:tr w14:paraId="52A7F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570C5EC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Familia 1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1015643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13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937C384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2 BLOCKER y 11 CRITICAL; extracciones y correcciones acotadas, sin sustituir reglas clínicas.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E19FD6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E01, CSV Familia 1</w:t>
            </w:r>
          </w:p>
        </w:tc>
      </w:tr>
      <w:tr w14:paraId="0D92E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C534F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Familia 2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C2AA39D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42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57A9A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Correcciones mecánicas backend con equivalencia y validación de sintaxis.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EBD64E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E01, CSV Familia 2</w:t>
            </w:r>
          </w:p>
        </w:tc>
      </w:tr>
      <w:tr w14:paraId="1CD5B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C84D89C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Familia 3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1A4B652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76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FA4E34D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Labels, controles semánticos y ciclo accesible de modales.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E4CC07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E01, CSV Familia 3</w:t>
            </w:r>
          </w:p>
        </w:tc>
      </w:tr>
      <w:tr w14:paraId="7C36A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EEA1F43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Familia 4A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3F3EFF0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126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196AA3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Imports, bindings y handlers demostrados sin uso; preservación del flujo activo.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06868B8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E01, CSV Familia 4A</w:t>
            </w:r>
          </w:p>
        </w:tc>
      </w:tr>
      <w:tr w14:paraId="4B6D9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3F78D3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Familia 4B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1A3470C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53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A2D1648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Modernización sintáctica frontend comprobada como equivalente.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9A01E8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E01, CSV Familia 4B</w:t>
            </w:r>
          </w:p>
        </w:tc>
      </w:tr>
      <w:tr w14:paraId="5A1F7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589C1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Familia 4C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DCEDEE6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25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5E8067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Manejo de excepciones y diagnósticos controlados, sin exponer datos sensibles.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217B51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E01, CSV Familia 4C</w:t>
            </w:r>
          </w:p>
        </w:tc>
      </w:tr>
      <w:tr w14:paraId="7299F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BCD2A0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Familia 4D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A95EC6E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36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320A73C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Resto del CSV: condiciones, claves de listas, tipos de retorno y revisión contextual.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8788A9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E01, CSV Familia 4D</w:t>
            </w:r>
          </w:p>
        </w:tc>
      </w:tr>
      <w:tr w14:paraId="5B47C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E8578E3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Total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AE00EE5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371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C8AB238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371 claves únicas; diferencias contra el CSV original: 0.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A449713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</w:t>
            </w:r>
          </w:p>
        </w:tc>
      </w:tr>
    </w:tbl>
    <w:p w14:paraId="4A339819">
      <w:pPr>
        <w:spacing w:after="40"/>
      </w:pPr>
    </w:p>
    <w:p w14:paraId="754156E4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Procesar un issue no implica que todos exigieran cambios: los registros distinguen CORREGIDO, YA_RESUELTO_POR_CAMBIO_PREVIO y FALSO_POSITIVO. Esta clasificación local tampoco equivale automáticamente a cambiar su estado en Sonar.</w:t>
      </w:r>
    </w:p>
    <w:p w14:paraId="2F03243B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 xml:space="preserve">La Familia 3 incorporó modales con </w:t>
      </w:r>
      <w:r>
        <w:rPr>
          <w:rFonts w:ascii="Consolas" w:hAnsi="Consolas" w:eastAsia="Consolas"/>
          <w:color w:val="303030"/>
          <w:sz w:val="21"/>
        </w:rPr>
        <w:t>dialog</w:t>
      </w:r>
      <w:r>
        <w:rPr>
          <w:rFonts w:ascii="Arial" w:hAnsi="Arial" w:eastAsia="Arial"/>
          <w:color w:val="000000"/>
          <w:sz w:val="22"/>
        </w:rPr>
        <w:t xml:space="preserve"> gestionado, foco inicial, navegación Tab/Shift+Tab, retorno de foco, Escape cuando correspondía, conservación de overlays y scroll. Se evitó una sustitución automática de etiquetas que pudiera alterar formularios o capas de avisos.</w:t>
      </w:r>
    </w:p>
    <w:p w14:paraId="14451E45">
      <w:pPr>
        <w:pStyle w:val="3"/>
      </w:pPr>
      <w:r>
        <w:t>6.2 Reanálisis POST y Delta Final</w:t>
      </w:r>
    </w:p>
    <w:p w14:paraId="07710009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 xml:space="preserve">La exportación POST contiene </w:t>
      </w:r>
      <w:r>
        <w:rPr>
          <w:rFonts w:ascii="Arial" w:hAnsi="Arial" w:eastAsia="Arial"/>
          <w:b/>
          <w:color w:val="000000"/>
          <w:sz w:val="22"/>
        </w:rPr>
        <w:t>84 filas y 84 claves únicas</w:t>
      </w:r>
      <w:r>
        <w:rPr>
          <w:rFonts w:ascii="Arial" w:hAnsi="Arial" w:eastAsia="Arial"/>
          <w:color w:val="000000"/>
          <w:sz w:val="22"/>
        </w:rPr>
        <w:t xml:space="preserve">. El registro del delta documenta </w:t>
      </w:r>
      <w:r>
        <w:rPr>
          <w:rFonts w:ascii="Arial" w:hAnsi="Arial" w:eastAsia="Arial"/>
          <w:b/>
          <w:color w:val="000000"/>
          <w:sz w:val="22"/>
        </w:rPr>
        <w:t>83 CORREGIDO, 1 CONTEXTUAL_REVIEWED y 0 pendientes locales</w:t>
      </w:r>
      <w:r>
        <w:rPr>
          <w:rFonts w:ascii="Arial" w:hAnsi="Arial" w:eastAsia="Arial"/>
          <w:color w:val="000000"/>
          <w:sz w:val="22"/>
        </w:rPr>
        <w:t>, con frontend 97/97, backend 103/103 y build PASS en ese checkpoint.</w:t>
      </w:r>
    </w:p>
    <w:p w14:paraId="38A22534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Representación de la evolución: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C51E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19AF58">
            <w:pPr>
              <w:pStyle w:val="164"/>
            </w:pPr>
            <w:r>
              <w:rPr>
                <w:rFonts w:ascii="Consolas" w:hAnsi="Consolas" w:eastAsia="Consolas"/>
                <w:color w:val="323232"/>
                <w:sz w:val="17"/>
              </w:rPr>
              <w:t>E13: 371 issues</w:t>
            </w:r>
            <w:r>
              <w:rPr>
                <w:rFonts w:ascii="Consolas" w:hAnsi="Consolas" w:eastAsia="Consolas"/>
                <w:color w:val="323232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323232"/>
                <w:sz w:val="17"/>
              </w:rPr>
              <w:t xml:space="preserve">  -&gt; POST tras Familias 1-4: 84 issues únicos</w:t>
            </w:r>
            <w:r>
              <w:rPr>
                <w:rFonts w:ascii="Consolas" w:hAnsi="Consolas" w:eastAsia="Consolas"/>
                <w:color w:val="323232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323232"/>
                <w:sz w:val="17"/>
              </w:rPr>
              <w:t xml:space="preserve">  -&gt; Delta: 83 corregidos + 1 contextual revisado</w:t>
            </w:r>
            <w:r>
              <w:rPr>
                <w:rFonts w:ascii="Consolas" w:hAnsi="Consolas" w:eastAsia="Consolas"/>
                <w:color w:val="323232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323232"/>
                <w:sz w:val="17"/>
              </w:rPr>
              <w:t xml:space="preserve">  -&gt; Estado final verificado TEST10: 0 abiertos + 1 aceptado</w:t>
            </w:r>
          </w:p>
        </w:tc>
      </w:tr>
    </w:tbl>
    <w:p w14:paraId="1683F9BD">
      <w:pPr>
        <w:spacing w:after="20"/>
      </w:pPr>
    </w:p>
    <w:p w14:paraId="1302FFD8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Los 84 del POST son una nueva fotografía del analizador, no un subconjunto que permita atribuir cada diferencia numérica a una corrección individual E13. No se suman como 455 defectos independientes.</w:t>
      </w:r>
    </w:p>
    <w:p w14:paraId="14CE0ADA">
      <w:pPr>
        <w:pStyle w:val="3"/>
      </w:pPr>
      <w:r>
        <w:t>6.3 S5693: Decisión Contextual</w:t>
      </w:r>
    </w:p>
    <w:p w14:paraId="394FF508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 xml:space="preserve">S5693 solicita revisar la seguridad del límite de contenido en </w:t>
      </w:r>
      <w:r>
        <w:rPr>
          <w:rFonts w:ascii="Consolas" w:hAnsi="Consolas" w:eastAsia="Consolas"/>
          <w:color w:val="303030"/>
          <w:sz w:val="21"/>
        </w:rPr>
        <w:t>micodent-backend/src/config/multer.js</w:t>
      </w:r>
      <w:r>
        <w:rPr>
          <w:rFonts w:ascii="Arial" w:hAnsi="Arial" w:eastAsia="Arial"/>
          <w:color w:val="000000"/>
          <w:sz w:val="22"/>
        </w:rPr>
        <w:t xml:space="preserve">. El límite clínico </w:t>
      </w:r>
      <w:r>
        <w:rPr>
          <w:rFonts w:ascii="Arial" w:hAnsi="Arial" w:eastAsia="Arial"/>
          <w:b/>
          <w:color w:val="000000"/>
          <w:sz w:val="22"/>
        </w:rPr>
        <w:t>10 MiB</w:t>
      </w:r>
      <w:r>
        <w:rPr>
          <w:rFonts w:ascii="Arial" w:hAnsi="Arial" w:eastAsia="Arial"/>
          <w:color w:val="000000"/>
          <w:sz w:val="22"/>
        </w:rPr>
        <w:t xml:space="preserve"> fue revisado y conservado deliberadamente; no fue corregido eliminándolo ni incrementándolo para silenciar el analizador.</w:t>
      </w:r>
    </w:p>
    <w:p w14:paraId="29473A81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El registro describe límites de multipart, tipos permitidos, validación de contenido y pruebas que aceptan un JPEG sintético de 9 MiB y rechazan exceso de 10 MiB y MIME incompatible. Esta evidencia no certifica cargas concurrentes o almacenamiento ilimitado.</w:t>
      </w:r>
    </w:p>
    <w:p w14:paraId="60371AD3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Una exportación intermedia conservaba S5693 como OPEN; posteriormente el hallazgo fue revisado y aceptado como contextual, manteniéndose el límite de 10 MiB por requerimientos funcionales. TEST3/Aceptacion Issue.png muestra javascript:S5693 Accepted y el límite en multer.js. La pantalla de Issues posterior filtrada OPEN/CONFIRMED está vacía. TEST5-TEST10 muestran un aceptado en sus vistas Overall disponibles; TEST10 confirma cero abiertos y un aceptado. La identidad se establece por la captura individual y continuidad documental, no por un nuevo detalle individual en TEST10. S5693 no fue corregido y la etiqueta histórica FALSO_POSITIVO no sustituye esta evidencia de aceptación.</w:t>
      </w:r>
    </w:p>
    <w:p w14:paraId="3163220E">
      <w:pPr>
        <w:pStyle w:val="3"/>
      </w:pPr>
      <w:r>
        <w:t>6.4 Estado Final Verificado de Sonar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4CB1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6C2086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Indicador</w:t>
            </w:r>
          </w:p>
        </w:tc>
        <w:tc>
          <w:tcPr>
            <w:tcW w:w="33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CD2063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Resultado</w:t>
            </w:r>
          </w:p>
        </w:tc>
        <w:tc>
          <w:tcPr>
            <w:tcW w:w="33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33838F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Verificación documental</w:t>
            </w:r>
          </w:p>
        </w:tc>
      </w:tr>
      <w:tr w14:paraId="63C0C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788ED9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Quality Gate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9695BB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PASSED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93A7E46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V; TEST10 PDF y PNG.</w:t>
            </w:r>
          </w:p>
        </w:tc>
      </w:tr>
      <w:tr w14:paraId="12E48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DD91B3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Security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2BF12A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0 open issues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983CBF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V; TEST10 Overall.</w:t>
            </w:r>
          </w:p>
        </w:tc>
      </w:tr>
      <w:tr w14:paraId="5C6AE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2422A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Reliability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5035B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0 open issues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6118D4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V; TEST10 Overall.</w:t>
            </w:r>
          </w:p>
        </w:tc>
      </w:tr>
      <w:tr w14:paraId="645ED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594FDD4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Maintainability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C57E4D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0 open issues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590DEA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V; TEST10 Overall.</w:t>
            </w:r>
          </w:p>
        </w:tc>
      </w:tr>
      <w:tr w14:paraId="286A7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53886C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Security Hotspots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6D4F419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0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C2F56CC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V; TEST10 Overall y New Code.</w:t>
            </w:r>
          </w:p>
        </w:tc>
      </w:tr>
      <w:tr w14:paraId="6DB18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2E47B2D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Accepted issues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13C22C6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1 Overall; 0 New Code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CA7EF1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V; TEST10 para totales, TEST3 para S5693 individual.</w:t>
            </w:r>
          </w:p>
        </w:tc>
      </w:tr>
    </w:tbl>
    <w:p w14:paraId="4868E292">
      <w:pPr>
        <w:spacing w:after="40"/>
      </w:pPr>
    </w:p>
    <w:p w14:paraId="5273FE2E">
      <w:pPr>
        <w:pStyle w:val="3"/>
      </w:pPr>
      <w:r>
        <w:t>6.5 Historial de Ejecuciones SonarQube</w:t>
      </w:r>
    </w:p>
    <w:p w14:paraId="6111134A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 xml:space="preserve">Se documentan diez conjuntos de análisis/checkpoints en </w:t>
      </w:r>
      <w:r>
        <w:rPr>
          <w:rFonts w:ascii="Arial" w:hAnsi="Arial" w:eastAsia="Arial"/>
          <w:color w:val="1F4E79"/>
          <w:sz w:val="22"/>
          <w:u w:val="single"/>
        </w:rPr>
        <w:t>SONAR_EVIDENCE_INDEX.md</w:t>
      </w:r>
      <w:r>
        <w:rPr>
          <w:rFonts w:ascii="Arial" w:hAnsi="Arial" w:eastAsia="Arial"/>
          <w:color w:val="000000"/>
          <w:sz w:val="22"/>
        </w:rPr>
        <w:t>. Sus métricas y fechas se reconstruyeron por contenido, metadatos PDF y capturas, sin ordenar solamente por nombres de carpetas. El índice detalla objetivo, correspondencia documental, archivos, hashes y dimensiones de calidad de cada conjunto.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 w14:paraId="59469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AC2A1A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Test / carpeta</w:t>
            </w:r>
          </w:p>
        </w:tc>
        <w:tc>
          <w:tcPr>
            <w:tcW w:w="124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336949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Fecha de evidencia local (UTC-05:00)</w:t>
            </w:r>
          </w:p>
        </w:tc>
        <w:tc>
          <w:tcPr>
            <w:tcW w:w="124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F3F6F9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Etapa</w:t>
            </w:r>
          </w:p>
        </w:tc>
        <w:tc>
          <w:tcPr>
            <w:tcW w:w="124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69CD76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Gate</w:t>
            </w:r>
          </w:p>
        </w:tc>
        <w:tc>
          <w:tcPr>
            <w:tcW w:w="124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3AC170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Abiertos</w:t>
            </w:r>
          </w:p>
        </w:tc>
        <w:tc>
          <w:tcPr>
            <w:tcW w:w="124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5E461E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Accepted Overall</w:t>
            </w:r>
          </w:p>
        </w:tc>
        <w:tc>
          <w:tcPr>
            <w:tcW w:w="124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8BA52C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Coverage Overall / New</w:t>
            </w:r>
          </w:p>
        </w:tc>
        <w:tc>
          <w:tcPr>
            <w:tcW w:w="124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BA2DBE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Duplicación Overall / New</w:t>
            </w:r>
          </w:p>
        </w:tc>
      </w:tr>
      <w:tr w14:paraId="19E06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55E244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01 / TEST1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0F71DF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2026-09-29 21:50, interna PDF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70E85D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Baseline E13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744B8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PASSED, filtro único proyecto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4205250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371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B2A2F63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N/D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EF59B28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N/D / N/D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445735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N/D / N/D</w:t>
            </w:r>
          </w:p>
        </w:tc>
      </w:tr>
      <w:tr w14:paraId="676A4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65444A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02 / TEST2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9B04E4E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2026-10-03 15:35, interna PDF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F2651A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POST Familias 1-4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6027B8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PASSED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9D5474D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84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70E74C1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0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9EE21A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0.0% / N/D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183D78D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5.5% / N/D</w:t>
            </w:r>
          </w:p>
        </w:tc>
      </w:tr>
      <w:tr w14:paraId="64A0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BB3101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03 / TEST3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F3F642E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2026-10-03 16:17-16:30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DDE75C0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Delta y aceptación S5693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7D6259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FAILED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D3F6F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1 -&gt; 0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7B2E9C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1, captura individual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0B64B3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N/D / 0.0%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0D4BF4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N/D / 0.0%</w:t>
            </w:r>
          </w:p>
        </w:tc>
      </w:tr>
      <w:tr w14:paraId="7C4BC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58C10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04 / TEST4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0D5CF0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2026-10-03 17:44:52, archivo PNG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A26237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Coverage P1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1CF668E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FAILED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CC0F17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N/D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9BECE4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N/D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7E123C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N/D / 74.8%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CC6FE8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N/D / 0.0%</w:t>
            </w:r>
          </w:p>
        </w:tc>
      </w:tr>
      <w:tr w14:paraId="698CB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4DC033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05 / TEST5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C61510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2026-10-03 18:08-18:10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1D8928E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Coverage P2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E2132E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PASSED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FF72775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0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6469E6B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1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BBD1E94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47.0% / 96.1%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3637A21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5.6% / 0.0%</w:t>
            </w:r>
          </w:p>
        </w:tc>
      </w:tr>
      <w:tr w14:paraId="3C8D3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F3BA586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06 / TEST6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FBF7CFE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2026-10-03 19:47, interna PDF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9878C24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Ampliación académica, antes de cierre Cypress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20FBF2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PASSED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CF0B2B8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0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FF4B0FF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1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15C83B7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75.8% / 96.1%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8D54EDD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5.6% / 0.0%</w:t>
            </w:r>
          </w:p>
        </w:tc>
      </w:tr>
      <w:tr w14:paraId="37FA5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DFE86AE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07 / TEST7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3DDD9F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2026-10-04 09:22-09:23, nombres PNG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BFE192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Checkpoint posterior a cierre Cypress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2A7D65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PASSED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A2E69CE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0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D005566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1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B6004DD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75.8% / 96.1%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54F6E9E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5.6% / 0.0%</w:t>
            </w:r>
          </w:p>
        </w:tc>
      </w:tr>
      <w:tr w14:paraId="00B19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8032740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08 / TEST8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221CDC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2026-10-04 10:02-10:05, nombres PNG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8507974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D1, import InputV pendiente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BB56A24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FAILED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1073B1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1, S1128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45EC057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1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7A33013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76.6% / 97.4%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32702AD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3.4% / 0.0%</w:t>
            </w:r>
          </w:p>
        </w:tc>
      </w:tr>
      <w:tr w14:paraId="0A180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0870D1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09 / TEST9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C4D47C8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2026-10-04 10:07, nombres PNG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A90EDCD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Corrección mínima S1128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BE5818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PASSED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A5776E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0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C36D5C3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1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E46A3CA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76.6% / 97.4%</w:t>
            </w:r>
          </w:p>
        </w:tc>
        <w:tc>
          <w:tcPr>
            <w:tcW w:w="124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B3B5E6C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3.4% / 0.0%</w:t>
            </w:r>
          </w:p>
        </w:tc>
      </w:tr>
      <w:tr w14:paraId="6FE70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EAEE2A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10 / TEST10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4ABBCE0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2026-10-04 11:23-11:36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017810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Final COV-G1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30C6D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PASSED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1CC9949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0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03D6B2B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1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9C441F2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81.4% / 97.4%</w:t>
            </w:r>
          </w:p>
        </w:tc>
        <w:tc>
          <w:tcPr>
            <w:tcW w:w="124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493E40F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3.4% / 0.0%</w:t>
            </w:r>
          </w:p>
        </w:tc>
      </w:tr>
    </w:tbl>
    <w:p w14:paraId="56F49352">
      <w:pPr>
        <w:spacing w:after="40"/>
      </w:pPr>
    </w:p>
    <w:p w14:paraId="1699B022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Son fechas de evidencia, no horas exactas del scanner. Diez carpetas no certifican diez jobs distintos: no se aportan sus IDs y TEST6/TEST7 repiten métricas. La asociación con etapas se apoya en los registros, no se atribuye causalidad únicamente por horario. TEST4 no incluye Overall: cero issues nuevos no demuestra cero abiertos globales. En TEST3 se conserva el cambio de estado dentro del conjunto, sin fijar la hora exacta de aceptación.</w:t>
      </w:r>
    </w:p>
    <w:p w14:paraId="5CAD11B8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El Gate no evolucionó monotónicamente: TEST3/TEST4 fallaron por cobertura nueva; TEST8 falló por un nuevo import sin uso aunque su cobertura ya superaba el umbral. TEST9 y TEST10 vuelven a PASSED. Accepted New Code 0 y Accepted Overall 1 corresponden a scopes distintos, no a una contradicción.</w:t>
      </w:r>
    </w:p>
    <w:p w14:paraId="4571C2A6">
      <w:pPr>
        <w:pStyle w:val="2"/>
        <w:pBdr>
          <w:bottom w:val="single" w:color="D9E2F3" w:sz="6" w:space="2"/>
        </w:pBdr>
      </w:pPr>
      <w:r>
        <w:t>7. Implementación de Pruebas Automatizadas</w:t>
      </w:r>
    </w:p>
    <w:p w14:paraId="77790628">
      <w:pPr>
        <w:pStyle w:val="3"/>
      </w:pPr>
      <w:r>
        <w:t>7.1 Catálogo Académico</w:t>
      </w:r>
    </w:p>
    <w:p w14:paraId="6B8D4139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 xml:space="preserve">Se verificó el índice con </w:t>
      </w:r>
      <w:r>
        <w:rPr>
          <w:rFonts w:ascii="Arial" w:hAnsi="Arial" w:eastAsia="Arial"/>
          <w:b/>
          <w:color w:val="000000"/>
          <w:sz w:val="22"/>
        </w:rPr>
        <w:t>60 IDs únicos: F01-F30 y B01-B30</w:t>
      </w:r>
      <w:r>
        <w:rPr>
          <w:rFonts w:ascii="Arial" w:hAnsi="Arial" w:eastAsia="Arial"/>
          <w:color w:val="000000"/>
          <w:sz w:val="22"/>
        </w:rPr>
        <w:t>, sin duplicados. Cada ID referencia pruebas concretas. Un caso académico puede contener varias assertions o apoyarse en tests existentes; no debe confundirse con el número de tests que informa node:test.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5B075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9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9CA5C9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Clasificación</w:t>
            </w:r>
          </w:p>
        </w:tc>
        <w:tc>
          <w:tcPr>
            <w:tcW w:w="249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7E2EA0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Frontend</w:t>
            </w:r>
          </w:p>
        </w:tc>
        <w:tc>
          <w:tcPr>
            <w:tcW w:w="249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162B5F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Backend</w:t>
            </w:r>
          </w:p>
        </w:tc>
        <w:tc>
          <w:tcPr>
            <w:tcW w:w="249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D9FF95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Total</w:t>
            </w:r>
          </w:p>
        </w:tc>
      </w:tr>
      <w:tr w14:paraId="2233C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4B232A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Casos académicos implementados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50AD4D6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30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DE239E6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30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0C9D4DA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60</w:t>
            </w:r>
          </w:p>
        </w:tc>
      </w:tr>
      <w:tr w14:paraId="26EEC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23157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TDD real Red-Green-Refactor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20EFECD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0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BCB30F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0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7508CE9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0</w:t>
            </w:r>
          </w:p>
        </w:tc>
      </w:tr>
      <w:tr w14:paraId="481B4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845303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Casos automatizados retroactivos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FF153CD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30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94D58E9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30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7FD8877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60</w:t>
            </w:r>
          </w:p>
        </w:tc>
      </w:tr>
    </w:tbl>
    <w:p w14:paraId="0F3B3F23">
      <w:pPr>
        <w:spacing w:after="40"/>
      </w:pPr>
    </w:p>
    <w:p w14:paraId="76DC83D5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 xml:space="preserve">Son pruebas de comportamiento y regresión añadidas o formalizadas después de existir la funcionalidad. Los fallos de selectores o fixtures no constituyen una fase RED de desarrollo de producto; por ello </w:t>
      </w:r>
      <w:r>
        <w:rPr>
          <w:rFonts w:ascii="Arial" w:hAnsi="Arial" w:eastAsia="Arial"/>
          <w:b/>
          <w:color w:val="000000"/>
          <w:sz w:val="22"/>
        </w:rPr>
        <w:t>no se presentan como TDD</w:t>
      </w:r>
      <w:r>
        <w:rPr>
          <w:rFonts w:ascii="Arial" w:hAnsi="Arial" w:eastAsia="Arial"/>
          <w:color w:val="000000"/>
          <w:sz w:val="22"/>
        </w:rPr>
        <w:t>.</w:t>
      </w:r>
    </w:p>
    <w:p w14:paraId="39BCF3CD">
      <w:pPr>
        <w:pStyle w:val="3"/>
      </w:pPr>
      <w:r>
        <w:t>7.2 Secuencia y Alcance</w:t>
      </w:r>
    </w:p>
    <w:p w14:paraId="6946F356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P1 dejó 12/60 casos implementados; P2 avanzó a 18/60; el lote académico A a 32/60, B a 46/60 y C a 60/60. Estos hitos están documentados en E03/E04 y no representan ejecuciones de todas las variantes ideales del plan.</w:t>
      </w:r>
    </w:p>
    <w:p w14:paraId="1E8DCAE2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Los módulos incluyen usuarios/sesiones, pacientes, historias, evoluciones, archivos clínicos, agenda, tratamientos, cobros, gastos, laboratorio, finanzas, perfiles, documentos y modales. Se probaron éxitos, errores, permisos aplicables, retención de borradores, operaciones únicas, payloads y respuestas tardías.</w:t>
      </w:r>
    </w:p>
    <w:p w14:paraId="4DD0D5B1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Backend utiliza node:test, controladores/servicios originales, Express/fetch en los casos HTTP y una frontera SQL simulada. Frontend utiliza node:test, RTL, React/Router, jsdom/Babel y API simulada; determinados casos de teclado/calendario se ejecutan en Edge mediante Playwright.</w:t>
      </w:r>
    </w:p>
    <w:p w14:paraId="735D8EF3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Los 8 tests D1 y los 11 COV-G1 son adicionales al catálogo de 60, al igual que Cypress. Las suites finales contienen también pruebas preexistentes y guardas estructurales. No se suman indiscriminadamente casos académicos y tests de distintas capas como si fueran casos nuevos.</w:t>
      </w:r>
    </w:p>
    <w:p w14:paraId="6EBF24ED">
      <w:pPr>
        <w:pStyle w:val="2"/>
        <w:pBdr>
          <w:bottom w:val="single" w:color="D9E2F3" w:sz="6" w:space="2"/>
        </w:pBdr>
      </w:pPr>
      <w:r>
        <w:t>8. Pruebas Cypress E2E</w:t>
      </w:r>
    </w:p>
    <w:p w14:paraId="7E613C2E">
      <w:pPr>
        <w:spacing w:after="120" w:line="276" w:lineRule="auto"/>
        <w:ind w:firstLine="283"/>
        <w:jc w:val="both"/>
      </w:pPr>
      <w:r>
        <w:rPr>
          <w:rFonts w:ascii="Arial" w:hAnsi="Arial" w:eastAsia="Arial"/>
          <w:b/>
          <w:color w:val="000000"/>
          <w:sz w:val="22"/>
        </w:rPr>
        <w:t>Cypress:</w:t>
      </w:r>
      <w:r>
        <w:rPr>
          <w:rFonts w:ascii="Arial" w:hAnsi="Arial" w:eastAsia="Arial"/>
          <w:color w:val="000000"/>
          <w:sz w:val="22"/>
        </w:rPr>
        <w:t xml:space="preserve"> 16.1.1. </w:t>
      </w:r>
      <w:r>
        <w:rPr>
          <w:rFonts w:ascii="Arial" w:hAnsi="Arial" w:eastAsia="Arial"/>
          <w:b/>
          <w:color w:val="000000"/>
          <w:sz w:val="22"/>
        </w:rPr>
        <w:t>Navegador:</w:t>
      </w:r>
      <w:r>
        <w:rPr>
          <w:rFonts w:ascii="Arial" w:hAnsi="Arial" w:eastAsia="Arial"/>
          <w:color w:val="000000"/>
          <w:sz w:val="22"/>
        </w:rPr>
        <w:t xml:space="preserve"> Microsoft Edge 154.0.4258.53, headless. </w:t>
      </w:r>
      <w:r>
        <w:rPr>
          <w:rFonts w:ascii="Arial" w:hAnsi="Arial" w:eastAsia="Arial"/>
          <w:b/>
          <w:color w:val="000000"/>
          <w:sz w:val="22"/>
        </w:rPr>
        <w:t>Entorno:</w:t>
      </w:r>
      <w:r>
        <w:rPr>
          <w:rFonts w:ascii="Arial" w:hAnsi="Arial" w:eastAsia="Arial"/>
          <w:color w:val="000000"/>
          <w:sz w:val="22"/>
        </w:rPr>
        <w:t xml:space="preserve"> Windows/Node 24.14.0. </w:t>
      </w:r>
      <w:r>
        <w:rPr>
          <w:rFonts w:ascii="Arial" w:hAnsi="Arial" w:eastAsia="Arial"/>
          <w:b/>
          <w:color w:val="000000"/>
          <w:sz w:val="22"/>
        </w:rPr>
        <w:t>Datos:</w:t>
      </w:r>
      <w:r>
        <w:rPr>
          <w:rFonts w:ascii="Arial" w:hAnsi="Arial" w:eastAsia="Arial"/>
          <w:color w:val="000000"/>
          <w:sz w:val="22"/>
        </w:rPr>
        <w:t xml:space="preserve"> simulados.</w:t>
      </w:r>
    </w:p>
    <w:p w14:paraId="72A93BAC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 xml:space="preserve">La primera ejecución documentada obtuvo 6/10 PASS. Los cuatro fallos se relacionaron con selectores, expectativas y fixtures; el registro documenta su corrección sin cambios funcionales. La última ejecución estructurada disponible obtuvo </w:t>
      </w:r>
      <w:r>
        <w:rPr>
          <w:rFonts w:ascii="Arial" w:hAnsi="Arial" w:eastAsia="Arial"/>
          <w:b/>
          <w:color w:val="000000"/>
          <w:sz w:val="22"/>
        </w:rPr>
        <w:t>10/10 PASS</w:t>
      </w:r>
      <w:r>
        <w:rPr>
          <w:rFonts w:ascii="Arial" w:hAnsi="Arial" w:eastAsia="Arial"/>
          <w:color w:val="000000"/>
          <w:sz w:val="22"/>
        </w:rPr>
        <w:t xml:space="preserve">, sin fallos, pendientes ni omitidos, a las </w:t>
      </w:r>
      <w:r>
        <w:rPr>
          <w:rFonts w:ascii="Arial" w:hAnsi="Arial" w:eastAsia="Arial"/>
          <w:b/>
          <w:color w:val="000000"/>
          <w:sz w:val="22"/>
        </w:rPr>
        <w:t>2026-10-04T16:15:31.261Z</w:t>
      </w:r>
      <w:r>
        <w:rPr>
          <w:rFonts w:ascii="Arial" w:hAnsi="Arial" w:eastAsia="Arial"/>
          <w:color w:val="000000"/>
          <w:sz w:val="22"/>
        </w:rPr>
        <w:t>, con duración de pruebas 30468 ms.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035B8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9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2F12B1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w="249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E7422F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Flujo</w:t>
            </w:r>
          </w:p>
        </w:tc>
        <w:tc>
          <w:tcPr>
            <w:tcW w:w="249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0CEDA2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Comprobación principal</w:t>
            </w:r>
          </w:p>
        </w:tc>
        <w:tc>
          <w:tcPr>
            <w:tcW w:w="249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62E03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Resultado</w:t>
            </w:r>
          </w:p>
        </w:tc>
      </w:tr>
      <w:tr w14:paraId="22ECA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0F7F03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CYP-E2E-01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12888B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Login válido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6598A1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Sesión sintética verificada, navegación e identidad visible.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5E8A614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PASS</w:t>
            </w:r>
          </w:p>
        </w:tc>
      </w:tr>
      <w:tr w14:paraId="7629B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EC925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CYP-E2E-02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02FB69E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Login inválido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F72310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Error visible, formulario conservado y reintento.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4838AC4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PASS</w:t>
            </w:r>
          </w:p>
        </w:tc>
      </w:tr>
      <w:tr w14:paraId="7E2F0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F58FE8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CYP-E2E-03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1D02BD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Búsqueda de pacientes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429FE8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Listado, búsqueda, vacío y limpieza del filtro.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6CED5F6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PASS</w:t>
            </w:r>
          </w:p>
        </w:tc>
      </w:tr>
      <w:tr w14:paraId="42932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AE459E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CYP-E2E-04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8ABB29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Apertura de ficha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26F168E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Datos y retorno al directorio sin mutaciones persistentes.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CB357F6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PASS</w:t>
            </w:r>
          </w:p>
        </w:tc>
      </w:tr>
      <w:tr w14:paraId="32A05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2C2AD2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CYP-E2E-05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988D7FD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Cita simulada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EF5170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Formulario, guardado en fixture, recarga y detalle.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87D0734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PASS</w:t>
            </w:r>
          </w:p>
        </w:tc>
      </w:tr>
      <w:tr w14:paraId="196C7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7030D04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CYP-E2E-06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B3E0614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Historia clínica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08322D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Antecedentes, diagnóstico y evolución visibles.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248CE2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PASS</w:t>
            </w:r>
          </w:p>
        </w:tc>
      </w:tr>
      <w:tr w14:paraId="0B3C7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70D01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CYP-E2E-07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3AA1EE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Borrador de tratamiento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1AE3BDD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Selección y cierre seguro, sin escritura clínica.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DBC6996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PASS</w:t>
            </w:r>
          </w:p>
        </w:tc>
      </w:tr>
      <w:tr w14:paraId="730F6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3F8CE8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CYP-E2E-08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65645C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Finanzas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3E731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Importes recibidos, filtros y vistas.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BC766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PASS</w:t>
            </w:r>
          </w:p>
        </w:tc>
      </w:tr>
      <w:tr w14:paraId="5704F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D3E3B0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CYP-E2E-09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EC729C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Permisos por rol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66B404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Menú y rutas cliente para doctor no administrador.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F0930FD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PASS</w:t>
            </w:r>
          </w:p>
        </w:tc>
      </w:tr>
      <w:tr w14:paraId="10FAF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259DCEE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CYP-E2E-10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CC487A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Logout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141FBFD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Cierre confirmado y restricción de ruta privada.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C976E13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PASS</w:t>
            </w:r>
          </w:p>
        </w:tc>
      </w:tr>
    </w:tbl>
    <w:p w14:paraId="1994069F">
      <w:pPr>
        <w:spacing w:after="40"/>
      </w:pPr>
    </w:p>
    <w:p w14:paraId="757AB0DA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 xml:space="preserve">El frontend real se sirve en un Vite E2E aislado con proxy clínico deshabilitado. Cypress intercepta la API; solicitudes no simuladas son bloqueadas. El JSON registra </w:t>
      </w:r>
      <w:r>
        <w:rPr>
          <w:rFonts w:ascii="Arial" w:hAnsi="Arial" w:eastAsia="Arial"/>
          <w:b/>
          <w:color w:val="000000"/>
          <w:sz w:val="22"/>
        </w:rPr>
        <w:t>0 peticiones API sin mock</w:t>
      </w:r>
      <w:r>
        <w:rPr>
          <w:rFonts w:ascii="Arial" w:hAnsi="Arial" w:eastAsia="Arial"/>
          <w:color w:val="000000"/>
          <w:sz w:val="22"/>
        </w:rPr>
        <w:t xml:space="preserve"> y se verificaron las tres capturas referenciadas.</w:t>
      </w:r>
    </w:p>
    <w:p w14:paraId="1104EDF3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Esta capa no reemplaza los 60 casos ni acredita persistencia MySQL real, autenticación de servidor, conciliación financiera o impresión física. Cypress no está instrumentado para aportar LCOV en esta infraestructura; sus 10 PASS no se añaden artificialmente a cobertura c8.</w:t>
      </w:r>
    </w:p>
    <w:p w14:paraId="3C68711E">
      <w:pPr>
        <w:pStyle w:val="2"/>
        <w:pBdr>
          <w:bottom w:val="single" w:color="D9E2F3" w:sz="6" w:space="2"/>
        </w:pBdr>
      </w:pPr>
      <w:r>
        <w:t>9. Mejora de Cobertura</w:t>
      </w:r>
    </w:p>
    <w:p w14:paraId="1413FE60">
      <w:pPr>
        <w:pStyle w:val="3"/>
      </w:pPr>
      <w:r>
        <w:t>9.1 Generación e Importación</w:t>
      </w:r>
    </w:p>
    <w:p w14:paraId="5FA23062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SonarQube no ejecuta estas suites de pruebas: consume los LCOV generados por los runners. Se conservó node:test y se añadió/configuró c8 sin reemplazar las pruebas.</w:t>
      </w:r>
    </w:p>
    <w:p w14:paraId="3AD4A42A">
      <w:pPr>
        <w:spacing w:after="120" w:line="276" w:lineRule="auto"/>
        <w:ind w:firstLine="283"/>
        <w:jc w:val="both"/>
      </w:pPr>
      <w:r>
        <w:rPr>
          <w:rFonts w:ascii="Consolas" w:hAnsi="Consolas" w:eastAsia="Consolas"/>
          <w:color w:val="303030"/>
          <w:sz w:val="21"/>
        </w:rPr>
        <w:t>sonar-project.properties</w:t>
      </w:r>
      <w:r>
        <w:rPr>
          <w:rFonts w:ascii="Arial" w:hAnsi="Arial" w:eastAsia="Arial"/>
          <w:color w:val="000000"/>
          <w:sz w:val="22"/>
        </w:rPr>
        <w:t xml:space="preserve"> mantiene: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61DB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8B590">
            <w:pPr>
              <w:pStyle w:val="164"/>
            </w:pPr>
            <w:r>
              <w:rPr>
                <w:rFonts w:ascii="Consolas" w:hAnsi="Consolas" w:eastAsia="Consolas"/>
                <w:color w:val="323232"/>
                <w:sz w:val="17"/>
              </w:rPr>
              <w:t>sonar.projectKey=micodent-post</w:t>
            </w:r>
            <w:r>
              <w:rPr>
                <w:rFonts w:ascii="Consolas" w:hAnsi="Consolas" w:eastAsia="Consolas"/>
                <w:color w:val="323232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323232"/>
                <w:sz w:val="17"/>
              </w:rPr>
              <w:t>sonar.projectName=Micodent POST Remediacion</w:t>
            </w:r>
            <w:r>
              <w:rPr>
                <w:rFonts w:ascii="Consolas" w:hAnsi="Consolas" w:eastAsia="Consolas"/>
                <w:color w:val="323232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323232"/>
                <w:sz w:val="17"/>
              </w:rPr>
              <w:t>sonar.sources=micodent-frontend/src,micodent-backend/src</w:t>
            </w:r>
            <w:r>
              <w:rPr>
                <w:rFonts w:ascii="Consolas" w:hAnsi="Consolas" w:eastAsia="Consolas"/>
                <w:color w:val="323232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323232"/>
                <w:sz w:val="17"/>
              </w:rPr>
              <w:t>sonar.javascript.lcov.reportPaths=micodent-frontend/coverage/lcov.info,micodent-backend/coverage/lcov.info</w:t>
            </w:r>
          </w:p>
        </w:tc>
      </w:tr>
    </w:tbl>
    <w:p w14:paraId="3A9D0036">
      <w:pPr>
        <w:spacing w:after="20"/>
      </w:pPr>
    </w:p>
    <w:p w14:paraId="2525B6F9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Los reportes incluyen fuente relevante bajo src. No se introdujeron exclusiones funcionales para aumentar porcentajes ni se editaron hits manualmente. El runner backend conserva TEMP/TMP aislados para evitar la interferencia CommonJS/ESM de Windows.</w:t>
      </w:r>
    </w:p>
    <w:p w14:paraId="76D7FECE">
      <w:pPr>
        <w:pStyle w:val="3"/>
      </w:pPr>
      <w:r>
        <w:t>9.2 Evolución Sonar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A210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DE3300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Serie</w:t>
            </w:r>
          </w:p>
        </w:tc>
        <w:tc>
          <w:tcPr>
            <w:tcW w:w="33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44A3E7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Secuencia</w:t>
            </w:r>
          </w:p>
        </w:tc>
        <w:tc>
          <w:tcPr>
            <w:tcW w:w="33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695C10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Procedencia</w:t>
            </w:r>
          </w:p>
        </w:tc>
      </w:tr>
      <w:tr w14:paraId="5C1CB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332ECB3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New Code Coverage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8BB9736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0.8% -&gt; 74.8% -&gt; 96.1% -&gt; 97.4%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18E091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0.8% D/C en E03/E08, sin captura propia; restantes V en TEST4, TEST5 y TEST8-TEST10.</w:t>
            </w:r>
          </w:p>
        </w:tc>
      </w:tr>
      <w:tr w14:paraId="04143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90FA0A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Overall Coverage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651BDC0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0.0% -&gt; 47.0% -&gt; 75.8% -&gt; 76.6% -&gt; 81.4%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665CE9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 en POST TEST2, TEST5, TEST6/TEST7, TEST8/TEST9 y TEST10. El 0.0% E13 previo sigue C/NV.</w:t>
            </w:r>
          </w:p>
        </w:tc>
      </w:tr>
      <w:tr w14:paraId="52DFB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F697C8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Hito adicional registrado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488E7F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Overall 18.2%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DD459CD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E03/E08, baseline previo a P1; sin evidencia visual propia en los diez conjuntos.</w:t>
            </w:r>
          </w:p>
        </w:tc>
      </w:tr>
      <w:tr w14:paraId="0BABE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8EAF09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Hito inicial de importación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CAC38C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New Code 0.0% antes de 0.8%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C04796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 en TEST3, 20 líneas nuevas; no confundir con Overall.</w:t>
            </w:r>
          </w:p>
        </w:tc>
      </w:tr>
    </w:tbl>
    <w:p w14:paraId="5A973902">
      <w:pPr>
        <w:spacing w:after="40"/>
      </w:pPr>
    </w:p>
    <w:p w14:paraId="1D7C069F">
      <w:pPr>
        <w:spacing w:after="120" w:line="276" w:lineRule="auto"/>
        <w:ind w:firstLine="283"/>
        <w:jc w:val="both"/>
      </w:pPr>
      <w:r>
        <w:rPr>
          <w:rFonts w:ascii="Arial" w:hAnsi="Arial" w:eastAsia="Arial"/>
          <w:b/>
          <w:color w:val="000000"/>
          <w:sz w:val="22"/>
        </w:rPr>
        <w:t>Resultado final verificado por evidencia:</w:t>
      </w:r>
      <w:r>
        <w:rPr>
          <w:rFonts w:ascii="Arial" w:hAnsi="Arial" w:eastAsia="Arial"/>
          <w:color w:val="000000"/>
          <w:sz w:val="22"/>
        </w:rPr>
        <w:t xml:space="preserve"> Overall 81.4%, objetivo mínimo 80% </w:t>
      </w:r>
      <w:r>
        <w:rPr>
          <w:rFonts w:ascii="Arial" w:hAnsi="Arial" w:eastAsia="Arial"/>
          <w:b/>
          <w:color w:val="000000"/>
          <w:sz w:val="22"/>
        </w:rPr>
        <w:t>CUMPLIDO</w:t>
      </w:r>
      <w:r>
        <w:rPr>
          <w:rFonts w:ascii="Arial" w:hAnsi="Arial" w:eastAsia="Arial"/>
          <w:color w:val="000000"/>
          <w:sz w:val="22"/>
        </w:rPr>
        <w:t>; New Code 97.4%. TEST10 incluye PDF y PNG concordantes para ambos scopes. El periodo New Code comienza el 3 de octubre de 2026; se muestran 369 líneas nuevas a cubrir. No se confunde el objetivo global con el requisito del Gate sobre código nuevo.</w:t>
      </w:r>
    </w:p>
    <w:p w14:paraId="6AA7F102">
      <w:pPr>
        <w:pStyle w:val="3"/>
      </w:pPr>
      <w:r>
        <w:t>9.3 Cobertura Local Final Verificada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7067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C1DEF3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Indicador c8</w:t>
            </w:r>
          </w:p>
        </w:tc>
        <w:tc>
          <w:tcPr>
            <w:tcW w:w="33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9EC748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Frontend</w:t>
            </w:r>
          </w:p>
        </w:tc>
        <w:tc>
          <w:tcPr>
            <w:tcW w:w="33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AC4408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Backend</w:t>
            </w:r>
          </w:p>
        </w:tc>
      </w:tr>
      <w:tr w14:paraId="48BA7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89BE75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Tests de la última ejecución documentada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8657A6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151/151 PASS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EA9108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130/130 PASS</w:t>
            </w:r>
          </w:p>
        </w:tc>
      </w:tr>
      <w:tr w14:paraId="3E4D0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CA5773C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Statements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9110392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83.29%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4AF2441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76.00%</w:t>
            </w:r>
          </w:p>
        </w:tc>
      </w:tr>
      <w:tr w14:paraId="1C31E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32EB48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Branches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1DD53A4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84.83%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7DFDD8D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82.15%</w:t>
            </w:r>
          </w:p>
        </w:tc>
      </w:tr>
      <w:tr w14:paraId="68283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5B0DAD3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Functions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EDB3FFD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57.43%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009A4BF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79.47%</w:t>
            </w:r>
          </w:p>
        </w:tc>
      </w:tr>
      <w:tr w14:paraId="0CE3B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9A785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Lines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D52F6D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83.29%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8561150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76.00%</w:t>
            </w:r>
          </w:p>
        </w:tc>
      </w:tr>
      <w:tr w14:paraId="2A4EB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566251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Líneas cubiertas / reportadas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F84A7FA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6015/7221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9854B60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2847/3746</w:t>
            </w:r>
          </w:p>
        </w:tc>
      </w:tr>
      <w:tr w14:paraId="350F4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28F1DF6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Ramas cubiertas / reportadas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D1989DF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1460/1721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78DA932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741/902</w:t>
            </w:r>
          </w:p>
        </w:tc>
      </w:tr>
      <w:tr w14:paraId="4B7F1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F88411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Funciones cubiertas / reportadas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70F972E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309/538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0522E4F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120/151</w:t>
            </w:r>
          </w:p>
        </w:tc>
      </w:tr>
      <w:tr w14:paraId="3FF98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EC878F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Registros SF LCOV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E54A1F9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46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31F612E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42</w:t>
            </w:r>
          </w:p>
        </w:tc>
      </w:tr>
    </w:tbl>
    <w:p w14:paraId="43D82AAA">
      <w:pPr>
        <w:spacing w:after="40"/>
      </w:pPr>
    </w:p>
    <w:p w14:paraId="2AC5F9A3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La generación final frontend registró 60791 ms y backend 9095 ms. Ambos LCOV son no vacíos, contienen rutas existentes bajo src, sin duplicados y con líneas dentro de las fuentes. Sus conteos concuerdan con coverage-summary.json.</w:t>
      </w:r>
    </w:p>
    <w:p w14:paraId="55CBF029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No se promedian 83.29% y 76.00% para afirmar un Overall. La estimación combinada de líneas/ramas es: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E8189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84F7AF">
            <w:pPr>
              <w:pStyle w:val="164"/>
            </w:pPr>
            <w:r>
              <w:rPr>
                <w:rFonts w:ascii="Consolas" w:hAnsi="Consolas" w:eastAsia="Consolas"/>
                <w:color w:val="323232"/>
                <w:sz w:val="17"/>
              </w:rPr>
              <w:t>(6015 + 2847 + 1460 + 741) / (7221 + 3746 + 1721 + 902)</w:t>
            </w:r>
            <w:r>
              <w:rPr>
                <w:rFonts w:ascii="Consolas" w:hAnsi="Consolas" w:eastAsia="Consolas"/>
                <w:color w:val="323232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323232"/>
                <w:sz w:val="17"/>
              </w:rPr>
              <w:t>= 81.4054%  [estimación local E]</w:t>
            </w:r>
          </w:p>
        </w:tc>
      </w:tr>
    </w:tbl>
    <w:p w14:paraId="78829683">
      <w:pPr>
        <w:spacing w:after="20"/>
      </w:pPr>
    </w:p>
    <w:p w14:paraId="6A1FFF95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Es compatible con el 81.4% verificado en Sonar, pero Sonar define sus propias líneas y condiciones. El margen recomendado 82-85% no quedó alcanzado; el mínimo 80% sí se supera localmente y en la evidencia final Sonar.</w:t>
      </w:r>
    </w:p>
    <w:p w14:paraId="07C7620C">
      <w:pPr>
        <w:pStyle w:val="3"/>
      </w:pPr>
      <w:r>
        <w:t>9.4 Lote COV-G1 y Problema del Runner</w:t>
      </w:r>
    </w:p>
    <w:p w14:paraId="55AEFC22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Se añadieron 11 pruebas sobre agenda diaria/semanal/mensual, navegación, layout, rutas protegidas y error boundary. Los archivos inicialmente sin hits pasaron a aportar cobertura real: Agenda 171/171, AgendaDia 88/88, AgendaMes 61/61, AgendaSemana 70/70, MainLayout 106/106, App 57/57 y AppErrorBoundary 19/19 líneas c8. Estos conteos no significan 100% de funciones o ramas ni invocación real de reload.</w:t>
      </w:r>
    </w:p>
    <w:p w14:paraId="3CE97990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El bloqueo Windows de cobertura provenía de una aserción transitoria que comparaba un nodo DOM/React contra null durante el cierre del modal. La representación del error inspeccionaba un grafo grande y agotaba memoria. Se conservó la condición mediante una aserción booleana equivalente y se verificaron cleanup, reloj y fixtures.</w:t>
      </w:r>
    </w:p>
    <w:p w14:paraId="02C759C2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Antes del cambio se observaron 30974 ms y RSS de 8772 MB en ese caso; después 309 ms y 375 MB. Tras cada cleanup había cero nodos montados y solo las tuberías normales de salida, no timers/servidores pendientes. El runner existente cerró con exit 0, sin salida forzada ni cambios funcionales.</w:t>
      </w:r>
    </w:p>
    <w:p w14:paraId="470CAE73">
      <w:pPr>
        <w:pStyle w:val="2"/>
        <w:pBdr>
          <w:bottom w:val="single" w:color="D9E2F3" w:sz="6" w:space="2"/>
        </w:pBdr>
      </w:pPr>
      <w:r>
        <w:t>10. Reducción de Duplicación</w:t>
      </w:r>
    </w:p>
    <w:p w14:paraId="1661BE85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 xml:space="preserve">La evolución es </w:t>
      </w:r>
      <w:r>
        <w:rPr>
          <w:rFonts w:ascii="Arial" w:hAnsi="Arial" w:eastAsia="Arial"/>
          <w:b/>
          <w:color w:val="000000"/>
          <w:sz w:val="22"/>
        </w:rPr>
        <w:t>6.2% inicial comunicado (C/NV) -&gt; 5.6% antes del refactor final (V, TEST5-TEST7) -&gt; 3.4% después (V, TEST8-TEST10)</w:t>
      </w:r>
      <w:r>
        <w:rPr>
          <w:rFonts w:ascii="Arial" w:hAnsi="Arial" w:eastAsia="Arial"/>
          <w:color w:val="000000"/>
          <w:sz w:val="22"/>
        </w:rPr>
        <w:t xml:space="preserve">. TEST2 muestra además un hito POST de 5.5%, conservado sin reemplazarlo por 5.6%. La duplicación nueva final es </w:t>
      </w:r>
      <w:r>
        <w:rPr>
          <w:rFonts w:ascii="Arial" w:hAnsi="Arial" w:eastAsia="Arial"/>
          <w:b/>
          <w:color w:val="000000"/>
          <w:sz w:val="22"/>
        </w:rPr>
        <w:t>0.0%</w:t>
      </w:r>
      <w:r>
        <w:rPr>
          <w:rFonts w:ascii="Arial" w:hAnsi="Arial" w:eastAsia="Arial"/>
          <w:color w:val="000000"/>
          <w:sz w:val="22"/>
        </w:rPr>
        <w:t>, verificada en TEST10, sobre 375 líneas nuevas. La variación 6.2% a 3.4% equivale a 2.8 puntos porcentuales, condicionada a la cifra inicial comunicada; no se atribuye íntegramente a las tres extracciones D1.</w:t>
      </w:r>
    </w:p>
    <w:p w14:paraId="15C3785F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El mapa local D1 consolidó 17 grupos de similitud, a partir de 27 pares de candidatos. No replica el algoritmo de Sonar ni identifica por sí solo sus bloques exactos. Se refactorizaron tres grupos de riesgo bajo: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0EE3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594835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Componente compartido</w:t>
            </w:r>
          </w:p>
        </w:tc>
        <w:tc>
          <w:tcPr>
            <w:tcW w:w="33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322D3B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Extracción</w:t>
            </w:r>
          </w:p>
        </w:tc>
        <w:tc>
          <w:tcPr>
            <w:tcW w:w="33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A6E447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Preservación comprobada</w:t>
            </w:r>
          </w:p>
        </w:tc>
      </w:tr>
      <w:tr w14:paraId="571C4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30F8AC4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SignaturePad.jsx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9911A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Implementación de firma repetida en páginas.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7D7125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AST original, callbacks, entrada mouse/touch, imagen inicial y borrado.</w:t>
            </w:r>
          </w:p>
        </w:tc>
      </w:tr>
      <w:tr w14:paraId="57E99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082BA6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InputV.jsx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4AC3EB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Control de entrada/formato repetido.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32E8C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Defaults, atributos, formato, clases y callbacks.</w:t>
            </w:r>
          </w:p>
        </w:tc>
      </w:tr>
      <w:tr w14:paraId="19290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9C0F1DD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DocumentActions.jsx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B4CEC64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Acciones visuales de orden Rx y receta.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1FF5728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Flags, iconos, títulos, orden, estilos y callbacks únicos; sin decidir permisos.</w:t>
            </w:r>
          </w:p>
        </w:tc>
      </w:tr>
    </w:tbl>
    <w:p w14:paraId="6CC1D799">
      <w:pPr>
        <w:spacing w:after="40"/>
      </w:pPr>
    </w:p>
    <w:p w14:paraId="016AC513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Se conservaron 14 grupos de riesgo medio/alto, incluyendo operaciones clínicas/financieras, tablas y formularios con contratos diferentes. Generificar SQL, adendas o estados inversos para disminuir similitud podría aumentar acoplamiento o alterar trazabilidad.</w:t>
      </w:r>
    </w:p>
    <w:p w14:paraId="74E61B17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La comparación local de candidatos pasó de 27 a 23 pares y de 872 a 595 líneas candidatas únicas. No se convierte ese resultado en porcentaje oficial. El 3.4% verificado reduce duplicación, pero no cumple el objetivo orientativo global anterior de &lt;=3.0%; esa meta no se declara alcanzada. Sí cumple el umbral de duplicación nueva del Gate, 0.0% &lt;=3.0%. No se persiguió 0% global artificialmente.</w:t>
      </w:r>
    </w:p>
    <w:p w14:paraId="32A4F13D">
      <w:r>
        <w:br w:type="page"/>
      </w:r>
    </w:p>
    <w:p w14:paraId="7C862880">
      <w:pPr>
        <w:pStyle w:val="2"/>
        <w:pBdr>
          <w:bottom w:val="single" w:color="D9E2F3" w:sz="6" w:space="2"/>
        </w:pBdr>
      </w:pPr>
      <w:r>
        <w:t>11. Resultados Finales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88B1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D330FC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Validación</w:t>
            </w:r>
          </w:p>
        </w:tc>
        <w:tc>
          <w:tcPr>
            <w:tcW w:w="33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14E856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Resultado</w:t>
            </w:r>
          </w:p>
        </w:tc>
        <w:tc>
          <w:tcPr>
            <w:tcW w:w="33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486DE3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Fuente y alcance</w:t>
            </w:r>
          </w:p>
        </w:tc>
      </w:tr>
      <w:tr w14:paraId="0CA17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0C5CA5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Suite frontend con coverage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DC5F968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151/151 PASS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C50F48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E02/E07, última ejecución registrada; no repetida para el informe.</w:t>
            </w:r>
          </w:p>
        </w:tc>
      </w:tr>
      <w:tr w14:paraId="3D084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AD0BAC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Suite backend con coverage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AB36BA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130/130 PASS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4D45CAC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E02/E07, TEMP/TMP aislados; frontera clínica simulada.</w:t>
            </w:r>
          </w:p>
        </w:tc>
      </w:tr>
      <w:tr w14:paraId="33AA8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F4C09C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Cypress E2E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D5B77A4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10/10 PASS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B1EAFC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JSON E13, verificado físicamente; API sintética.</w:t>
            </w:r>
          </w:p>
        </w:tc>
      </w:tr>
      <w:tr w14:paraId="5061E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D276E5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Build frontend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145619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PASS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5010EA3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E02: 1837 módulos, CSS 47.34 kB y JS 571.34 kB.</w:t>
            </w:r>
          </w:p>
        </w:tc>
      </w:tr>
      <w:tr w14:paraId="135C8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38A7B70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Catálogo académico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B9023B2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60/60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DE7D82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E04: 60 IDs únicos, 30 por capa, verificados.</w:t>
            </w:r>
          </w:p>
        </w:tc>
      </w:tr>
      <w:tr w14:paraId="2EBB7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9CC5D7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LCOV frontend/backend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5113AE3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Válidos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AB130E6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E11/E12, rutas y conteos contrastados.</w:t>
            </w:r>
          </w:p>
        </w:tc>
      </w:tr>
      <w:tr w14:paraId="44A47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8D845B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Regresiones detectadas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2614560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0 en las validaciones registradas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86B4C0C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No equivale a ausencia de defectos.</w:t>
            </w:r>
          </w:p>
        </w:tc>
      </w:tr>
      <w:tr w14:paraId="3393E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6CEBA6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Quality Gate final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CEB3A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PASSED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170482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V; PDF y capturas TEST10, E19.</w:t>
            </w:r>
          </w:p>
        </w:tc>
      </w:tr>
    </w:tbl>
    <w:p w14:paraId="1B77A241">
      <w:pPr>
        <w:spacing w:after="40"/>
      </w:pPr>
    </w:p>
    <w:p w14:paraId="7EA40D9D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Después de los cambios importantes se registraron regresiones y build proporcionalmente al alcance. Los lotes exclusivos de backend no repitieron frontend sin motivo; esto se indica en sus cierres. Las últimas validaciones completas abarcan ambas suites, Cypress y build.</w:t>
      </w:r>
    </w:p>
    <w:p w14:paraId="0492A0C5">
      <w:pPr>
        <w:pStyle w:val="2"/>
        <w:pBdr>
          <w:bottom w:val="single" w:color="D9E2F3" w:sz="6" w:space="2"/>
        </w:pBdr>
      </w:pPr>
      <w:r>
        <w:t>12. Comparación Antes / Después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5B0C9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9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79CD2D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Indicador</w:t>
            </w:r>
          </w:p>
        </w:tc>
        <w:tc>
          <w:tcPr>
            <w:tcW w:w="249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136311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Antes</w:t>
            </w:r>
          </w:p>
        </w:tc>
        <w:tc>
          <w:tcPr>
            <w:tcW w:w="249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09338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Después</w:t>
            </w:r>
          </w:p>
        </w:tc>
        <w:tc>
          <w:tcPr>
            <w:tcW w:w="249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EC971E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Resultado / evidencia</w:t>
            </w:r>
          </w:p>
        </w:tc>
      </w:tr>
      <w:tr w14:paraId="6F4A3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643D984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Issues Sonar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432573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371 E13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615ED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0 abiertos; 1 contextual aceptado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0EEE15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V, TEST1 y TEST10.</w:t>
            </w:r>
          </w:p>
        </w:tc>
      </w:tr>
      <w:tr w14:paraId="1B293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C917CEC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Accepted contextual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855223D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N/D E13; POST TEST2: 0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BC674D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1, S5693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48AB70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V; aceptación individual TEST3, total final TEST10.</w:t>
            </w:r>
          </w:p>
        </w:tc>
      </w:tr>
      <w:tr w14:paraId="0E860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BB5B514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Quality Gate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673D83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PASSED, filtro único proyecto TEST1; fallos intermedios TEST3/4/8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A04C9C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PASSED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D5BB0FE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V; no mejora monotónica ni prueba aislada de seguridad.</w:t>
            </w:r>
          </w:p>
        </w:tc>
      </w:tr>
      <w:tr w14:paraId="110BB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44D482C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Overall Coverage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C801ED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0.0% E13 C/NV; POST TEST2 0.0% V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119AB21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81.4%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F05537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 final; objetivo global &gt;=80% cumplido.</w:t>
            </w:r>
          </w:p>
        </w:tc>
      </w:tr>
      <w:tr w14:paraId="5CCB6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AB9F48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New Code Coverage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E49E21E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0.8% D/C sin captura; TEST3 0.0% V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F7CC8C4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97.4%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D705A60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 final; series y scopes diferenciados.</w:t>
            </w:r>
          </w:p>
        </w:tc>
      </w:tr>
      <w:tr w14:paraId="65AF1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40187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Overall Duplications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88379B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6.2% E13 C/NV; POST TEST2 5.5% V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4B80FA0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3.4%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1AB538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 final; meta global orientativa &lt;=3.0% no cumplida.</w:t>
            </w:r>
          </w:p>
        </w:tc>
      </w:tr>
      <w:tr w14:paraId="70EC9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475FD7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New Code Duplications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BAB384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N/D E13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E0826B1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0.0%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7052590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 final; umbral Gate &lt;=3.0% cumplido.</w:t>
            </w:r>
          </w:p>
        </w:tc>
      </w:tr>
      <w:tr w14:paraId="10DC8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626A75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Security issues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B49E31D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2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15C79D4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0 abiertos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6A438D3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V, PDF TEST1 y TEST10 Overall.</w:t>
            </w:r>
          </w:p>
        </w:tc>
      </w:tr>
      <w:tr w14:paraId="4E2F6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F465E2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Reliability issues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11A5DB3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138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92B114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0 abiertos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B8C9970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V; no equiparar a severidades ni sumar impactos.</w:t>
            </w:r>
          </w:p>
        </w:tc>
      </w:tr>
      <w:tr w14:paraId="4789F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9C638B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Maintainability issues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B471870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313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EA9CEC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0 abiertos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180BCE6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V; PDF baseline y evidencia final.</w:t>
            </w:r>
          </w:p>
        </w:tc>
      </w:tr>
      <w:tr w14:paraId="68562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E32AA2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Casos académicos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6FEE0E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0 formalizados para esta entrega, no ausencia de tests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125718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60/60, 30 frontend + 30 backend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33B20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Índice actual V; retroactivos, no TDD.</w:t>
            </w:r>
          </w:p>
        </w:tc>
      </w:tr>
      <w:tr w14:paraId="31E14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C559BCE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Cypress E2E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4546FF8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Sin esta capa implementada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AE2D61D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10/10 PASS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74BFC5E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JSON y especificación existentes V.</w:t>
            </w:r>
          </w:p>
        </w:tc>
      </w:tr>
      <w:tr w14:paraId="11E94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8D01B28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Frontend tests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9960FBE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E13 previo: no verificado; primer control F1: 28/28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DE688A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151/151 PASS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3D381C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D; creció el conjunto, no una suite idéntica.</w:t>
            </w:r>
          </w:p>
        </w:tc>
      </w:tr>
      <w:tr w14:paraId="2A6FA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2C7F9B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Backend tests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CE4BA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Primer control F1: 85/86; cierre ambiental: 86/86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DF2F540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130/130 PASS</w:t>
            </w:r>
          </w:p>
        </w:tc>
        <w:tc>
          <w:tcPr>
            <w:tcW w:w="2493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C0B97C3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D; fallo ambiental diferenciado de regresión.</w:t>
            </w:r>
          </w:p>
        </w:tc>
      </w:tr>
      <w:tr w14:paraId="1C42A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21792E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Build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3C91924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PASS en el primer control F1 documentado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CE13314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PASS</w:t>
            </w:r>
          </w:p>
        </w:tc>
        <w:tc>
          <w:tcPr>
            <w:tcW w:w="2493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6F207E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D; advertencia &gt;500 kB conservada.</w:t>
            </w:r>
          </w:p>
        </w:tc>
      </w:tr>
    </w:tbl>
    <w:p w14:paraId="0CA999B4">
      <w:pPr>
        <w:spacing w:after="40"/>
      </w:pPr>
    </w:p>
    <w:p w14:paraId="5B639D9D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Los conteos 2/138/313 quedan verificados por el PDF TEST1, no por campos del CSV. No se suman para reemplazar los 371 issues únicos: las dimensiones pueden solaparse. La comparación por severidad se apoya en el CSV; la comparación por calidad, en las vistas del dashboard.</w:t>
      </w:r>
    </w:p>
    <w:p w14:paraId="51625836">
      <w:pPr>
        <w:pStyle w:val="2"/>
        <w:pBdr>
          <w:bottom w:val="single" w:color="D9E2F3" w:sz="6" w:space="2"/>
        </w:pBdr>
      </w:pPr>
      <w:r>
        <w:t>13. Análisis de Resultados</w:t>
      </w:r>
    </w:p>
    <w:p w14:paraId="0F38F4B5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La intervención reduce el inventario pendiente verificado y amplía la capacidad de detectar regresiones mediante código real y contratos simulados. La mejora de cobertura permite observar ejecución antes ausente del LCOV, particularmente en calendario y rutas.</w:t>
      </w:r>
    </w:p>
    <w:p w14:paraId="5ADE0DBF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La cobertura frontend de funciones (57.43%) sigue siendo inferior a su cobertura de líneas. Esto advierte contra interpretar 83.29% de líneas como prueba exhaustiva de todas las acciones. También explica por qué el cierre de un porcentaje no elimina la necesidad de pruebas dirigidas por riesgo.</w:t>
      </w:r>
    </w:p>
    <w:p w14:paraId="5752A699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Los tests estructurales, las pruebas de API/controladores y las pruebas de navegador aportan evidencias complementarias. Las pruebas con SQL simulado ejercitan decisiones, payloads y rollback solicitado, pero no el comportamiento físico del motor, bloqueos reales o durabilidad ante corte eléctrico.</w:t>
      </w:r>
    </w:p>
    <w:p w14:paraId="21DCF01A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El propósito de esta entrega se cumple como consolidación del trabajo de calidad. La cobertura global mínima está verificada por TEST10; el 81.4054% local se conserva como estimación separada. Gate PASSED no acredita el mínimo global por sí solo: el Gate mostrado exige &gt;=80% en código nuevo. La tarjeta Overall verifica independientemente el 81.4% global.</w:t>
      </w:r>
    </w:p>
    <w:p w14:paraId="50DC2867">
      <w:pPr>
        <w:pStyle w:val="2"/>
        <w:pBdr>
          <w:bottom w:val="single" w:color="D9E2F3" w:sz="6" w:space="2"/>
        </w:pBdr>
      </w:pPr>
      <w:r>
        <w:t>14. Limitaciones</w:t>
      </w:r>
    </w:p>
    <w:p w14:paraId="7D25896A">
      <w:pPr>
        <w:pStyle w:val="29"/>
        <w:spacing w:after="40" w:line="259" w:lineRule="auto"/>
      </w:pPr>
      <w:r>
        <w:rPr>
          <w:rFonts w:ascii="Arial" w:hAnsi="Arial" w:eastAsia="Arial"/>
          <w:color w:val="000000"/>
          <w:sz w:val="21"/>
        </w:rPr>
        <w:t>La revisión es de artefactos exportados, no una consulta en vivo al servidor. TEST10 verifica todas las métricas finales solicitadas; no aporta ID del análisis ni revisión Git exacta.</w:t>
      </w:r>
    </w:p>
    <w:p w14:paraId="0276FAEA">
      <w:pPr>
        <w:pStyle w:val="29"/>
        <w:spacing w:after="40" w:line="259" w:lineRule="auto"/>
      </w:pPr>
      <w:r>
        <w:rPr>
          <w:rFonts w:ascii="Arial" w:hAnsi="Arial" w:eastAsia="Arial"/>
          <w:color w:val="000000"/>
          <w:sz w:val="21"/>
        </w:rPr>
        <w:t>Las diez carpetas documentan diez conjuntos/checkpoints. Sin IDs de análisis no se certifica que sean diez jobs independientes; TEST6/TEST7 repiten métricas. Sus horarios son de evidencia, no siempre de ejecución del scanner.</w:t>
      </w:r>
    </w:p>
    <w:p w14:paraId="0FA291C3">
      <w:pPr>
        <w:pStyle w:val="29"/>
        <w:spacing w:after="40" w:line="259" w:lineRule="auto"/>
      </w:pPr>
      <w:r>
        <w:rPr>
          <w:rFonts w:ascii="Arial" w:hAnsi="Arial" w:eastAsia="Arial"/>
          <w:color w:val="000000"/>
          <w:sz w:val="21"/>
        </w:rPr>
        <w:t>El CSV FINAL mantiene S5693 OPEN como fotografía intermedia; TEST3 Accepted y TEST10 cero abiertos/un aceptado resuelven la discrepancia. Se conservan todos los originales.</w:t>
      </w:r>
    </w:p>
    <w:p w14:paraId="1736990C">
      <w:pPr>
        <w:pStyle w:val="29"/>
        <w:spacing w:after="40" w:line="259" w:lineRule="auto"/>
      </w:pPr>
      <w:r>
        <w:rPr>
          <w:rFonts w:ascii="Arial" w:hAnsi="Arial" w:eastAsia="Arial"/>
          <w:color w:val="000000"/>
          <w:sz w:val="21"/>
        </w:rPr>
        <w:t>E13 coverage 0.0%, duplicación 6.2% y los hitos LCOV inicial Overall 18.2% / New Code 0.8% siguen sin respaldo visual propio en estos conjuntos. No se trasladan métricas de otro análisis para completar N/D.</w:t>
      </w:r>
    </w:p>
    <w:p w14:paraId="7827B21A">
      <w:pPr>
        <w:pStyle w:val="29"/>
        <w:spacing w:after="40" w:line="259" w:lineRule="auto"/>
      </w:pPr>
      <w:r>
        <w:rPr>
          <w:rFonts w:ascii="Arial" w:hAnsi="Arial" w:eastAsia="Arial"/>
          <w:color w:val="000000"/>
          <w:sz w:val="21"/>
        </w:rPr>
        <w:t>El PDF expresa limitaciones de análisis de seguridad de Community Build; cero alertas no certifica ausencia de SQL Injection, XSS u otras vulnerabilidades. No se realizó pentest.</w:t>
      </w:r>
    </w:p>
    <w:p w14:paraId="5EA560FA">
      <w:pPr>
        <w:pStyle w:val="29"/>
        <w:spacing w:after="40" w:line="259" w:lineRule="auto"/>
      </w:pPr>
      <w:r>
        <w:rPr>
          <w:rFonts w:ascii="Arial" w:hAnsi="Arial" w:eastAsia="Arial"/>
          <w:color w:val="000000"/>
          <w:sz w:val="21"/>
        </w:rPr>
        <w:t>Las pruebas no verifican persistencia, atomicidad o concurrencia física de MySQL/MariaDB clínica, ni restauraciones completas de información clínica real.</w:t>
      </w:r>
    </w:p>
    <w:p w14:paraId="4AEE7605">
      <w:pPr>
        <w:pStyle w:val="29"/>
        <w:spacing w:after="40" w:line="259" w:lineRule="auto"/>
      </w:pPr>
      <w:r>
        <w:rPr>
          <w:rFonts w:ascii="Arial" w:hAnsi="Arial" w:eastAsia="Arial"/>
          <w:color w:val="000000"/>
          <w:sz w:val="21"/>
        </w:rPr>
        <w:t>No se probaron cargas sostenidas, crecimiento de imágenes/radiografías, múltiples equipos, cortes eléctricos, impresoras físicas o instalaciones finales de la clínica.</w:t>
      </w:r>
    </w:p>
    <w:p w14:paraId="1D62D274">
      <w:pPr>
        <w:pStyle w:val="29"/>
        <w:spacing w:after="40" w:line="259" w:lineRule="auto"/>
      </w:pPr>
      <w:r>
        <w:rPr>
          <w:rFonts w:ascii="Arial" w:hAnsi="Arial" w:eastAsia="Arial"/>
          <w:color w:val="000000"/>
          <w:sz w:val="21"/>
        </w:rPr>
        <w:t>B14 conserva contenido/enlaces de reemplazo, pero la documentación advierte que la firma/sello puede leerse del perfil actual: no se certifica snapshot histórico inmutable.</w:t>
      </w:r>
    </w:p>
    <w:p w14:paraId="786C36B0">
      <w:pPr>
        <w:pStyle w:val="29"/>
        <w:spacing w:after="40" w:line="259" w:lineRule="auto"/>
      </w:pPr>
      <w:r>
        <w:rPr>
          <w:rFonts w:ascii="Arial" w:hAnsi="Arial" w:eastAsia="Arial"/>
          <w:color w:val="000000"/>
          <w:sz w:val="21"/>
        </w:rPr>
        <w:t>B17 puede conservar un archivo huérfano tras fallo de inserción; ante commit incierto conserva bytes. No se implementó recolector nuevo.</w:t>
      </w:r>
    </w:p>
    <w:p w14:paraId="018A157B">
      <w:pPr>
        <w:pStyle w:val="29"/>
        <w:spacing w:after="40" w:line="259" w:lineRule="auto"/>
      </w:pPr>
      <w:r>
        <w:rPr>
          <w:rFonts w:ascii="Arial" w:hAnsi="Arial" w:eastAsia="Arial"/>
          <w:color w:val="000000"/>
          <w:sz w:val="21"/>
        </w:rPr>
        <w:t>F09 delega rechazo de tipo al backend; el éxito de subida puede mostrarse antes de una recarga fallida. No se declaró implementada la prevalidadación MIME ideal del plan.</w:t>
      </w:r>
    </w:p>
    <w:p w14:paraId="099AB0AF">
      <w:pPr>
        <w:pStyle w:val="29"/>
        <w:spacing w:after="40" w:line="259" w:lineRule="auto"/>
      </w:pPr>
      <w:r>
        <w:rPr>
          <w:rFonts w:ascii="Arial" w:hAnsi="Arial" w:eastAsia="Arial"/>
          <w:color w:val="000000"/>
          <w:sz w:val="21"/>
        </w:rPr>
        <w:t>F19 registra selección visual de PiezaSelector, pero no aria-pressed en ese componente. Las mejoras de accesibilidad no equivalen a una certificación WCAG.</w:t>
      </w:r>
    </w:p>
    <w:p w14:paraId="700B20CC">
      <w:pPr>
        <w:pStyle w:val="29"/>
        <w:spacing w:after="40" w:line="259" w:lineRule="auto"/>
      </w:pPr>
      <w:r>
        <w:rPr>
          <w:rFonts w:ascii="Arial" w:hAnsi="Arial" w:eastAsia="Arial"/>
          <w:color w:val="000000"/>
          <w:sz w:val="21"/>
        </w:rPr>
        <w:t>El registro conserva una observación sobre edad Rx alrededor del cumpleaños por interpretación UTC/local de fechas; no se corrigió en esta entrega documental.</w:t>
      </w:r>
    </w:p>
    <w:p w14:paraId="4F5689F7">
      <w:pPr>
        <w:pStyle w:val="29"/>
        <w:spacing w:after="40" w:line="259" w:lineRule="auto"/>
      </w:pPr>
      <w:r>
        <w:rPr>
          <w:rFonts w:ascii="Arial" w:hAnsi="Arial" w:eastAsia="Arial"/>
          <w:color w:val="000000"/>
          <w:sz w:val="21"/>
        </w:rPr>
        <w:t>Persisten avisos no fatales de bundle &gt;500 kB y windows-trash.exe en Cypress. No se ocultaron ni se modificaron permisos.</w:t>
      </w:r>
    </w:p>
    <w:p w14:paraId="154B2FBE">
      <w:pPr>
        <w:pStyle w:val="29"/>
        <w:spacing w:after="40" w:line="259" w:lineRule="auto"/>
      </w:pPr>
      <w:r>
        <w:rPr>
          <w:rFonts w:ascii="Arial" w:hAnsi="Arial" w:eastAsia="Arial"/>
          <w:color w:val="000000"/>
          <w:sz w:val="21"/>
        </w:rPr>
        <w:t xml:space="preserve">La versión incluye cambios locales todavía no publicados; </w:t>
      </w:r>
      <w:r>
        <w:rPr>
          <w:rFonts w:ascii="Consolas" w:hAnsi="Consolas" w:eastAsia="Consolas"/>
          <w:color w:val="303030"/>
          <w:sz w:val="20"/>
        </w:rPr>
        <w:t>bbc15f1</w:t>
      </w:r>
      <w:r>
        <w:rPr>
          <w:rFonts w:ascii="Arial" w:hAnsi="Arial" w:eastAsia="Arial"/>
          <w:color w:val="000000"/>
          <w:sz w:val="21"/>
        </w:rPr>
        <w:t xml:space="preserve"> no identifica por sí solo el estado final de los archivos.</w:t>
      </w:r>
    </w:p>
    <w:p w14:paraId="26D27371">
      <w:pPr>
        <w:pStyle w:val="3"/>
      </w:pPr>
      <w:r>
        <w:t>14.1 Discrepancias Documentales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EBE5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33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9D2053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w="33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DD2165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Discrepancia</w:t>
            </w:r>
          </w:p>
        </w:tc>
        <w:tc>
          <w:tcPr>
            <w:tcW w:w="33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D0BD8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Tratamiento en este informe</w:t>
            </w:r>
          </w:p>
        </w:tc>
      </w:tr>
      <w:tr w14:paraId="1F6B1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07E66CD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D-01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88EBC74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Registros históricos describen 81.41% local como estimación; TEST10 muestra Sonar 81.4%.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823FE4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Resuelta: métrica Sonar V, estimación E separada; registros históricos intactos.</w:t>
            </w:r>
          </w:p>
        </w:tc>
      </w:tr>
      <w:tr w14:paraId="25F07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822B7A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D-02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875F9C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CSV FINAL: S5693 OPEN; captura TEST3: Accepted; TEST10: cero abiertos y uno aceptado.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C45E753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Resuelta por orden temporal. No se corrige ni reemplaza el CSV.</w:t>
            </w:r>
          </w:p>
        </w:tc>
      </w:tr>
      <w:tr w14:paraId="195BF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0ADEF4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D-03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60B1BD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TEST2 muestra 84 issues, coverage 0.0%, duplicación 5.5%; TEST10 muestra estado final distinto.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DE967AE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Resuelta como evolución histórica, no discrepancia de un mismo estado.</w:t>
            </w:r>
          </w:p>
        </w:tc>
      </w:tr>
      <w:tr w14:paraId="70786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73A9DF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D-04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F8640F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Serie solicitada omite Overall 18.2% presente en E03/E08.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A37BE66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Hito documental conservado, sin captura propia ni fecha de análisis inventada.</w:t>
            </w:r>
          </w:p>
        </w:tc>
      </w:tr>
      <w:tr w14:paraId="61525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4BECC7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D-05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9536943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2/138/313 no son columnas del CSV, pero aparecen en PDF TEST1.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BD5041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Resuelta: valores verificados por PDF; dimensiones no sumables como issues únicos.</w:t>
            </w:r>
          </w:p>
        </w:tc>
      </w:tr>
      <w:tr w14:paraId="6409B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2BC70F6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D-06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71DE4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CYPRESS_E2E_REPORT y plan D1 conservan hashes de run.json anteriores; el runner reemplaza ese archivo.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43DBBFE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Utilizar el JSON actual para la última ejecución y tratar los otros hashes como históricos.</w:t>
            </w:r>
          </w:p>
        </w:tc>
      </w:tr>
      <w:tr w14:paraId="26202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A7A97D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D-07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45E3FE4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D1 proponía &lt;=3.0% global orientativo; final verificado 3.4%.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A81101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Reducción sin cumplimiento de meta global; New Code 0.0% sí cumple Gate.</w:t>
            </w:r>
          </w:p>
        </w:tc>
      </w:tr>
      <w:tr w14:paraId="5444B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F5BE500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D-08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4C25D1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TEST1 LastWriteTime del 3 de octubre; PDF con fecha interna 29 de septiembre.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1A5A16C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Ordenar por contenido/fecha interna, no por copia del archivo.</w:t>
            </w:r>
          </w:p>
        </w:tc>
      </w:tr>
      <w:tr w14:paraId="0C9A0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B2EAEB3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D-09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1AF5EED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Diez conjuntos, sin IDs de job y TEST6/TEST7 con mismas métricas.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326BEB6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Orden de evidencia determinado; identidad de ejecuciones distintas no certificada.</w:t>
            </w:r>
          </w:p>
        </w:tc>
      </w:tr>
    </w:tbl>
    <w:p w14:paraId="2DB40973">
      <w:pPr>
        <w:spacing w:after="40"/>
      </w:pPr>
    </w:p>
    <w:p w14:paraId="0C436B07">
      <w:pPr>
        <w:pStyle w:val="2"/>
        <w:pBdr>
          <w:bottom w:val="single" w:color="D9E2F3" w:sz="6" w:space="2"/>
        </w:pBdr>
      </w:pPr>
      <w:r>
        <w:t>15. Conclusiones</w:t>
      </w:r>
    </w:p>
    <w:p w14:paraId="1C3F4935">
      <w:pPr>
        <w:spacing w:after="40" w:line="259" w:lineRule="auto"/>
        <w:ind w:left="369" w:hanging="312"/>
      </w:pPr>
      <w:r>
        <w:rPr>
          <w:rFonts w:ascii="Arial" w:hAnsi="Arial" w:eastAsia="Arial"/>
          <w:sz w:val="21"/>
        </w:rPr>
        <w:t xml:space="preserve">1.  </w:t>
      </w:r>
      <w:r>
        <w:rPr>
          <w:rFonts w:ascii="Arial" w:hAnsi="Arial" w:eastAsia="Arial"/>
          <w:color w:val="000000"/>
          <w:sz w:val="21"/>
        </w:rPr>
        <w:t>El inventario E13 de 371 issues y su distribución por severidad quedaron verificados; los siete lotes conservan exactamente sus claves.</w:t>
      </w:r>
    </w:p>
    <w:p w14:paraId="5749E171">
      <w:pPr>
        <w:spacing w:after="40" w:line="259" w:lineRule="auto"/>
        <w:ind w:left="369" w:hanging="312"/>
      </w:pPr>
      <w:r>
        <w:rPr>
          <w:rFonts w:ascii="Arial" w:hAnsi="Arial" w:eastAsia="Arial"/>
          <w:sz w:val="21"/>
        </w:rPr>
        <w:t xml:space="preserve">2.  </w:t>
      </w:r>
      <w:r>
        <w:rPr>
          <w:rFonts w:ascii="Arial" w:hAnsi="Arial" w:eastAsia="Arial"/>
          <w:color w:val="000000"/>
          <w:sz w:val="21"/>
        </w:rPr>
        <w:t>El delta POST de 84 issues está respaldado por CSV y registro: 83 correcciones y una revisión contextual. S5693 se mantuvo deliberadamente y no se presenta como corregido.</w:t>
      </w:r>
    </w:p>
    <w:p w14:paraId="241FF213">
      <w:pPr>
        <w:spacing w:after="40" w:line="259" w:lineRule="auto"/>
        <w:ind w:left="369" w:hanging="312"/>
      </w:pPr>
      <w:r>
        <w:rPr>
          <w:rFonts w:ascii="Arial" w:hAnsi="Arial" w:eastAsia="Arial"/>
          <w:sz w:val="21"/>
        </w:rPr>
        <w:t xml:space="preserve">3.  </w:t>
      </w:r>
      <w:r>
        <w:rPr>
          <w:rFonts w:ascii="Arial" w:hAnsi="Arial" w:eastAsia="Arial"/>
          <w:color w:val="000000"/>
          <w:sz w:val="21"/>
        </w:rPr>
        <w:t>Se formalizaron 60 casos académicos retroactivos, 30 por capa, sin atribuir un proceso TDD Red-Green-Refactor inexistente.</w:t>
      </w:r>
    </w:p>
    <w:p w14:paraId="6A50BB26">
      <w:pPr>
        <w:spacing w:after="40" w:line="259" w:lineRule="auto"/>
        <w:ind w:left="369" w:hanging="312"/>
      </w:pPr>
      <w:r>
        <w:rPr>
          <w:rFonts w:ascii="Arial" w:hAnsi="Arial" w:eastAsia="Arial"/>
          <w:sz w:val="21"/>
        </w:rPr>
        <w:t xml:space="preserve">4.  </w:t>
      </w:r>
      <w:r>
        <w:rPr>
          <w:rFonts w:ascii="Arial" w:hAnsi="Arial" w:eastAsia="Arial"/>
          <w:color w:val="000000"/>
          <w:sz w:val="21"/>
        </w:rPr>
        <w:t>Cypress añade 10 flujos de usuario sobre el frontend real con API simulada; su última ejecución está respaldada por un JSON de 10 PASS y tres capturas.</w:t>
      </w:r>
    </w:p>
    <w:p w14:paraId="4F361315">
      <w:pPr>
        <w:spacing w:after="40" w:line="259" w:lineRule="auto"/>
        <w:ind w:left="369" w:hanging="312"/>
      </w:pPr>
      <w:r>
        <w:rPr>
          <w:rFonts w:ascii="Arial" w:hAnsi="Arial" w:eastAsia="Arial"/>
          <w:sz w:val="21"/>
        </w:rPr>
        <w:t xml:space="preserve">5.  </w:t>
      </w:r>
      <w:r>
        <w:rPr>
          <w:rFonts w:ascii="Arial" w:hAnsi="Arial" w:eastAsia="Arial"/>
          <w:color w:val="000000"/>
          <w:sz w:val="21"/>
        </w:rPr>
        <w:t>Los LCOV finales son válidos y contienen cobertura real; las últimas suites registran 151/151 frontend, 130/130 backend y build PASS.</w:t>
      </w:r>
    </w:p>
    <w:p w14:paraId="6615EC03">
      <w:pPr>
        <w:spacing w:after="40" w:line="259" w:lineRule="auto"/>
        <w:ind w:left="369" w:hanging="312"/>
      </w:pPr>
      <w:r>
        <w:rPr>
          <w:rFonts w:ascii="Arial" w:hAnsi="Arial" w:eastAsia="Arial"/>
          <w:sz w:val="21"/>
        </w:rPr>
        <w:t xml:space="preserve">6.  </w:t>
      </w:r>
      <w:r>
        <w:rPr>
          <w:rFonts w:ascii="Arial" w:hAnsi="Arial" w:eastAsia="Arial"/>
          <w:color w:val="000000"/>
          <w:sz w:val="21"/>
        </w:rPr>
        <w:t>TEST10 verifica Sonar Overall 81.4%, New Code 97.4% y Gate PASSED; el mínimo global 80% está cumplido por evidencia. S5693 permanece aceptado, no corregido.</w:t>
      </w:r>
    </w:p>
    <w:p w14:paraId="4BC4D451">
      <w:pPr>
        <w:spacing w:after="40" w:line="259" w:lineRule="auto"/>
        <w:ind w:left="369" w:hanging="312"/>
      </w:pPr>
      <w:r>
        <w:rPr>
          <w:rFonts w:ascii="Arial" w:hAnsi="Arial" w:eastAsia="Arial"/>
          <w:sz w:val="21"/>
        </w:rPr>
        <w:t xml:space="preserve">7.  </w:t>
      </w:r>
      <w:r>
        <w:rPr>
          <w:rFonts w:ascii="Arial" w:hAnsi="Arial" w:eastAsia="Arial"/>
          <w:color w:val="000000"/>
          <w:sz w:val="21"/>
        </w:rPr>
        <w:t>La duplicación se redujo mediante tres componentes compartidos, preservando comportamiento y estilos. Conservar grupos clínicos/financieros de mayor riesgo fue una decisión de mantenimiento, no una omisión oculta.</w:t>
      </w:r>
    </w:p>
    <w:p w14:paraId="62B8D617">
      <w:pPr>
        <w:spacing w:after="40" w:line="259" w:lineRule="auto"/>
        <w:ind w:left="369" w:hanging="312"/>
      </w:pPr>
      <w:r>
        <w:rPr>
          <w:rFonts w:ascii="Arial" w:hAnsi="Arial" w:eastAsia="Arial"/>
          <w:sz w:val="21"/>
        </w:rPr>
        <w:t xml:space="preserve">8.  </w:t>
      </w:r>
      <w:r>
        <w:rPr>
          <w:rFonts w:ascii="Arial" w:hAnsi="Arial" w:eastAsia="Arial"/>
          <w:color w:val="000000"/>
          <w:sz w:val="21"/>
        </w:rPr>
        <w:t>No se detectaron regresiones en las pruebas ejecutadas. Los resultados no certifican producción, rendimiento a escala ni ausencia de fallos; las limitaciones y discrepancias permanecen explícitas.</w:t>
      </w:r>
    </w:p>
    <w:p w14:paraId="4F5BFA11">
      <w:pPr>
        <w:pStyle w:val="2"/>
        <w:pBdr>
          <w:bottom w:val="single" w:color="D9E2F3" w:sz="6" w:space="2"/>
        </w:pBdr>
      </w:pPr>
      <w:r>
        <w:t>16. Recomendaciones</w:t>
      </w:r>
    </w:p>
    <w:p w14:paraId="1C3D58DE">
      <w:pPr>
        <w:spacing w:after="40" w:line="259" w:lineRule="auto"/>
        <w:ind w:left="369" w:hanging="312"/>
      </w:pPr>
      <w:r>
        <w:rPr>
          <w:rFonts w:ascii="Arial" w:hAnsi="Arial" w:eastAsia="Arial"/>
          <w:sz w:val="21"/>
        </w:rPr>
        <w:t xml:space="preserve">1.  </w:t>
      </w:r>
      <w:r>
        <w:rPr>
          <w:rFonts w:ascii="Arial" w:hAnsi="Arial" w:eastAsia="Arial"/>
          <w:color w:val="000000"/>
          <w:sz w:val="21"/>
        </w:rPr>
        <w:t>Conservar los diez conjuntos originales y el índice E19 como expediente de calidad. Antes de congelar baseline, identificar revisión Git/ID del análisis final cuando estén disponibles; no cambiar umbrales ni ejecutar un nuevo análisis en esta consolidación.</w:t>
      </w:r>
    </w:p>
    <w:p w14:paraId="444D7C33">
      <w:pPr>
        <w:spacing w:after="40" w:line="259" w:lineRule="auto"/>
        <w:ind w:left="369" w:hanging="312"/>
      </w:pPr>
      <w:r>
        <w:rPr>
          <w:rFonts w:ascii="Arial" w:hAnsi="Arial" w:eastAsia="Arial"/>
          <w:sz w:val="21"/>
        </w:rPr>
        <w:t xml:space="preserve">2.  </w:t>
      </w:r>
      <w:r>
        <w:rPr>
          <w:rFonts w:ascii="Arial" w:hAnsi="Arial" w:eastAsia="Arial"/>
          <w:color w:val="000000"/>
          <w:sz w:val="21"/>
        </w:rPr>
        <w:t>Conservar los LCOV, coverage-summary.json y el JSON Cypress actual junto a la entrega; una nueva ejecución puede reemplazar evidencia. Identificar el código final con commit/revisión cuando se autorice publicar.</w:t>
      </w:r>
    </w:p>
    <w:p w14:paraId="65764898">
      <w:pPr>
        <w:spacing w:after="40" w:line="259" w:lineRule="auto"/>
        <w:ind w:left="369" w:hanging="312"/>
      </w:pPr>
      <w:r>
        <w:rPr>
          <w:rFonts w:ascii="Arial" w:hAnsi="Arial" w:eastAsia="Arial"/>
          <w:sz w:val="21"/>
        </w:rPr>
        <w:t xml:space="preserve">3.  </w:t>
      </w:r>
      <w:r>
        <w:rPr>
          <w:rFonts w:ascii="Arial" w:hAnsi="Arial" w:eastAsia="Arial"/>
          <w:color w:val="000000"/>
          <w:sz w:val="21"/>
        </w:rPr>
        <w:t>Revisar las cifras históricas aún no verificadas visualmente y las observaciones D-01 a D-09 antes de convertir a DOCX/PDF; las discrepancias resueltas se conservan como historial.</w:t>
      </w:r>
    </w:p>
    <w:p w14:paraId="4F7B7169">
      <w:pPr>
        <w:spacing w:after="40" w:line="259" w:lineRule="auto"/>
        <w:ind w:left="369" w:hanging="312"/>
      </w:pPr>
      <w:r>
        <w:rPr>
          <w:rFonts w:ascii="Arial" w:hAnsi="Arial" w:eastAsia="Arial"/>
          <w:sz w:val="21"/>
        </w:rPr>
        <w:t xml:space="preserve">4.  </w:t>
      </w:r>
      <w:r>
        <w:rPr>
          <w:rFonts w:ascii="Arial" w:hAnsi="Arial" w:eastAsia="Arial"/>
          <w:color w:val="000000"/>
          <w:sz w:val="21"/>
        </w:rPr>
        <w:t>Mantener el catálogo académico separado de Cypress y de los totales node:test; describir las pruebas como automatizadas retroactivas.</w:t>
      </w:r>
    </w:p>
    <w:p w14:paraId="354D68F3">
      <w:pPr>
        <w:spacing w:after="40" w:line="259" w:lineRule="auto"/>
        <w:ind w:left="369" w:hanging="312"/>
      </w:pPr>
      <w:r>
        <w:rPr>
          <w:rFonts w:ascii="Arial" w:hAnsi="Arial" w:eastAsia="Arial"/>
          <w:sz w:val="21"/>
        </w:rPr>
        <w:t xml:space="preserve">5.  </w:t>
      </w:r>
      <w:r>
        <w:rPr>
          <w:rFonts w:ascii="Arial" w:hAnsi="Arial" w:eastAsia="Arial"/>
          <w:color w:val="000000"/>
          <w:sz w:val="21"/>
        </w:rPr>
        <w:t>Planificar, con autorización independiente, integración de persistencia aislada, recuperación de backups, concurrencia, carga de imágenes y recorridos manuales clínicos.</w:t>
      </w:r>
    </w:p>
    <w:p w14:paraId="166516F8">
      <w:pPr>
        <w:spacing w:after="40" w:line="259" w:lineRule="auto"/>
        <w:ind w:left="369" w:hanging="312"/>
      </w:pPr>
      <w:r>
        <w:rPr>
          <w:rFonts w:ascii="Arial" w:hAnsi="Arial" w:eastAsia="Arial"/>
          <w:sz w:val="21"/>
        </w:rPr>
        <w:t xml:space="preserve">6.  </w:t>
      </w:r>
      <w:r>
        <w:rPr>
          <w:rFonts w:ascii="Arial" w:hAnsi="Arial" w:eastAsia="Arial"/>
          <w:color w:val="000000"/>
          <w:sz w:val="21"/>
        </w:rPr>
        <w:t>Priorizar las limitaciones de historia documental, almacenamiento y fechas según impacto; no resolverlas incidentalmente durante una entrega de evidencia.</w:t>
      </w:r>
    </w:p>
    <w:p w14:paraId="4CCC4A2D">
      <w:pPr>
        <w:spacing w:after="40" w:line="259" w:lineRule="auto"/>
        <w:ind w:left="369" w:hanging="312"/>
      </w:pPr>
      <w:r>
        <w:rPr>
          <w:rFonts w:ascii="Arial" w:hAnsi="Arial" w:eastAsia="Arial"/>
          <w:sz w:val="21"/>
        </w:rPr>
        <w:t xml:space="preserve">7.  </w:t>
      </w:r>
      <w:r>
        <w:rPr>
          <w:rFonts w:ascii="Arial" w:hAnsi="Arial" w:eastAsia="Arial"/>
          <w:color w:val="000000"/>
          <w:sz w:val="21"/>
        </w:rPr>
        <w:t>Considerar optimización del bundle y cobertura de funciones de bajo porcentaje en lotes futuros. No perseguir 100% ni eliminar duplicación clínica a costa de acoplamiento.</w:t>
      </w:r>
    </w:p>
    <w:p w14:paraId="4F8BEB31">
      <w:pPr>
        <w:spacing w:after="40" w:line="259" w:lineRule="auto"/>
        <w:ind w:left="369" w:hanging="312"/>
      </w:pPr>
      <w:r>
        <w:rPr>
          <w:rFonts w:ascii="Arial" w:hAnsi="Arial" w:eastAsia="Arial"/>
          <w:sz w:val="21"/>
        </w:rPr>
        <w:t xml:space="preserve">8.  </w:t>
      </w:r>
      <w:r>
        <w:rPr>
          <w:rFonts w:ascii="Arial" w:hAnsi="Arial" w:eastAsia="Arial"/>
          <w:color w:val="000000"/>
          <w:sz w:val="21"/>
        </w:rPr>
        <w:t>Revisar el informe consolidado y congelar baseline de calidad con autorización; preparar DOCX/PDF posteriormente. No iniciar PostgreSQL, Docker ni adaptación universitaria en esta fase.</w:t>
      </w:r>
    </w:p>
    <w:p w14:paraId="07F2945B">
      <w:r>
        <w:br w:type="page"/>
      </w:r>
    </w:p>
    <w:p w14:paraId="613FAB3E">
      <w:pPr>
        <w:pStyle w:val="2"/>
        <w:pBdr>
          <w:bottom w:val="single" w:color="D9E2F3" w:sz="6" w:space="2"/>
        </w:pBdr>
      </w:pPr>
      <w:r>
        <w:t>17. Evidencias y Anexos</w:t>
      </w:r>
    </w:p>
    <w:p w14:paraId="5D5B885E">
      <w:pPr>
        <w:pStyle w:val="3"/>
      </w:pPr>
      <w:r>
        <w:t>17.1 Ubicaciones y Fuentes</w:t>
      </w:r>
    </w:p>
    <w:p w14:paraId="11C72464">
      <w:pPr>
        <w:spacing w:after="120" w:line="276" w:lineRule="auto"/>
        <w:ind w:firstLine="283"/>
        <w:jc w:val="both"/>
      </w:pPr>
      <w:r>
        <w:rPr>
          <w:rFonts w:ascii="Arial" w:hAnsi="Arial" w:eastAsia="Arial"/>
          <w:b/>
          <w:color w:val="000000"/>
          <w:sz w:val="22"/>
        </w:rPr>
        <w:t>Raíz del worktree (R):</w:t>
      </w:r>
      <w:r>
        <w:rPr>
          <w:rFonts w:ascii="Arial" w:hAnsi="Arial" w:eastAsia="Arial"/>
          <w:color w:val="000000"/>
          <w:sz w:val="22"/>
        </w:rPr>
        <w:t xml:space="preserve"> </w:t>
      </w:r>
      <w:r>
        <w:rPr>
          <w:rFonts w:ascii="Consolas" w:hAnsi="Consolas" w:eastAsia="Consolas"/>
          <w:color w:val="303030"/>
          <w:sz w:val="21"/>
        </w:rPr>
        <w:t>F:\ChatGPT\MICODENT — Sistema de Gestión Odontológica\MICODENT_DEV\.runtime\e09-agenda-api</w:t>
      </w:r>
      <w:r>
        <w:rPr>
          <w:rFonts w:ascii="Arial" w:hAnsi="Arial" w:eastAsia="Arial"/>
          <w:color w:val="000000"/>
          <w:sz w:val="22"/>
        </w:rPr>
        <w:t xml:space="preserve">. </w:t>
      </w:r>
      <w:r>
        <w:rPr>
          <w:rFonts w:ascii="Arial" w:hAnsi="Arial" w:eastAsia="Arial"/>
          <w:b/>
          <w:color w:val="000000"/>
          <w:sz w:val="22"/>
        </w:rPr>
        <w:t>Raíz de evidencia externa (P):</w:t>
      </w:r>
      <w:r>
        <w:rPr>
          <w:rFonts w:ascii="Arial" w:hAnsi="Arial" w:eastAsia="Arial"/>
          <w:color w:val="000000"/>
          <w:sz w:val="22"/>
        </w:rPr>
        <w:t xml:space="preserve"> </w:t>
      </w:r>
      <w:r>
        <w:rPr>
          <w:rFonts w:ascii="Consolas" w:hAnsi="Consolas" w:eastAsia="Consolas"/>
          <w:color w:val="303030"/>
          <w:sz w:val="21"/>
        </w:rPr>
        <w:t>F:\ChatGPT\MICODENT — Sistema de Gestión Odontológica\MICODENT_DEV</w:t>
      </w:r>
      <w:r>
        <w:rPr>
          <w:rFonts w:ascii="Arial" w:hAnsi="Arial" w:eastAsia="Arial"/>
          <w:color w:val="000000"/>
          <w:sz w:val="22"/>
        </w:rPr>
        <w:t>. Las rutas siguientes son relativas a R o P según se indica, excepto E10.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7"/>
        <w:gridCol w:w="4697"/>
        <w:gridCol w:w="2908"/>
      </w:tblGrid>
      <w:tr w14:paraId="21E38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5DE1F8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w="33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96E158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Archivo existente</w:t>
            </w:r>
          </w:p>
        </w:tc>
        <w:tc>
          <w:tcPr>
            <w:tcW w:w="33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8DA5D3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Uso y límite</w:t>
            </w:r>
          </w:p>
        </w:tc>
      </w:tr>
      <w:tr w14:paraId="381A7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6DADF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E01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BD699A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R/docs/quality/SONAR_REMEDIATION_LOG.md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B9E0418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Familias y cierres; no medición externa final por sí solo.</w:t>
            </w:r>
          </w:p>
        </w:tc>
      </w:tr>
      <w:tr w14:paraId="2B566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3E145B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E02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303017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R/docs/quality/CURRENT_TASK.md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7A203CD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Último checkpoint COV-G1, suites/build/hashes y estimación local.</w:t>
            </w:r>
          </w:p>
        </w:tc>
      </w:tr>
      <w:tr w14:paraId="09B27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AB90783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E03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D0BBCF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R/docs/quality/COVERAGE_TEST_PLAN.md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5A340A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Baseline, P1/P2, lotes A/B/C y limitaciones.</w:t>
            </w:r>
          </w:p>
        </w:tc>
      </w:tr>
      <w:tr w14:paraId="681A9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B7FBE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E04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4E721C8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R/docs/quality/ACADEMIC_TEST_CASES.md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40BE90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Índice verificable 60 IDs y clasificación retroactiva.</w:t>
            </w:r>
          </w:p>
        </w:tc>
      </w:tr>
      <w:tr w14:paraId="11B5F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695F08C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E05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A0EE54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R/docs/quality/CYPRESS_E2E_REPORT.md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697AB3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Diez flujos y primera corrida; hash histórico, JSON posterior reemplazado.</w:t>
            </w:r>
          </w:p>
        </w:tc>
      </w:tr>
      <w:tr w14:paraId="400E6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D6DB3F8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E06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CAF0E7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R/docs/quality/DUPLICATION_REFACTOR_PLAN.md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F0F712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17 grupos, 3 extracciones y 14 conservados.</w:t>
            </w:r>
          </w:p>
        </w:tc>
      </w:tr>
      <w:tr w14:paraId="5C425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48D71E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E07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14F501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R/docs/quality/GLOBAL_COVERAGE_80_PLAN.md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CD87B5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11 tests COV-G1, cobertura y diagnóstico Windows.</w:t>
            </w:r>
          </w:p>
        </w:tc>
      </w:tr>
      <w:tr w14:paraId="0C851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B99AED3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E08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01D8933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R/docs/quality/NEW_CODE_COVERAGE_MAP.md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786AD36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Priorización por LCOV/diff; limitación histórica de acceso a métricas Sonar.</w:t>
            </w:r>
          </w:p>
        </w:tc>
      </w:tr>
      <w:tr w14:paraId="41B24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59C685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E09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80613D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R/docs/quality/POST_SONAR_DELTA.md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0D30B3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84 claves: 83 corregidas y una contextual.</w:t>
            </w:r>
          </w:p>
        </w:tc>
      </w:tr>
      <w:tr w14:paraId="17B61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42D449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E10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1F6C36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C:/Users/Jamz/Desktop/Micodent_E13_Issues_SonarQube.csv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11C0930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371 filas/claves; no contiene métricas de coverage o impactos de calidad.</w:t>
            </w:r>
          </w:p>
        </w:tc>
      </w:tr>
      <w:tr w14:paraId="3132C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C6E6B58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E11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5B0BEB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R/micodent-frontend/coverage/lcov.info y coverage-summary.json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D0F1F8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Cobertura frontend física verificada.</w:t>
            </w:r>
          </w:p>
        </w:tc>
      </w:tr>
      <w:tr w14:paraId="45F67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298193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E12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C590DE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R/micodent-backend/coverage/lcov.info y coverage-summary.json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16042AC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Cobertura backend física verificada.</w:t>
            </w:r>
          </w:p>
        </w:tc>
      </w:tr>
      <w:tr w14:paraId="3BB71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540470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E13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C3497D8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R/micodent-frontend/test-results/cypress/run.json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3B704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Última corrida 10/10, fecha/versiones/capturas.</w:t>
            </w:r>
          </w:p>
        </w:tc>
      </w:tr>
      <w:tr w14:paraId="3DD8F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88BA5BC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E14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CA0856C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P/SONAR_EVIDENCE_POST/Micodent_POST_SONAR_Issues.csv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896349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84 filas/claves POST.</w:t>
            </w:r>
          </w:p>
        </w:tc>
      </w:tr>
      <w:tr w14:paraId="6149F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6906E5E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E15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3538BB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P/SONAR_EVIDENCE_POST/Micodent_FINAL_SONAR_Issues.csv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D03F71C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Una fila S5693 OPEN; no acredita aceptación posterior.</w:t>
            </w:r>
          </w:p>
        </w:tc>
      </w:tr>
      <w:tr w14:paraId="02DA3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CAEE608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E16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F53E1E3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P/SONAR_EVIDENCE_POST/sonarqube test 2.pdf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42109E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PDF histórico, 1 página, dashboard POST del 3 de octubre de 2026.</w:t>
            </w:r>
          </w:p>
        </w:tc>
      </w:tr>
      <w:tr w14:paraId="2345C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FD52F7E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E17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70DC9E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R/sonar-project.properties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061874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Sources y ambos reportPaths LCOV; no contiene el resultado del Gate.</w:t>
            </w:r>
          </w:p>
        </w:tc>
      </w:tr>
      <w:tr w14:paraId="5407C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9812E50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E18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78ACED3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R/docs/quality/sonar-family1.csv, sonar-family2.csv, sonar-family3.csv, sonar-family4a.csv, sonar-family4b.csv, sonar-family4c.csv y sonar-family4d.csv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ECB31A8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Partición completa y exacta de las 371 claves E13.</w:t>
            </w:r>
          </w:p>
        </w:tc>
      </w:tr>
      <w:tr w14:paraId="4849E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3BCCFA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E19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294157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R/docs/quality/SONAR_EVIDENCE_INDEX.md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4BD4F6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Índice cronológico de diez conjuntos y 28 archivos originales, métricas, SHA-256 y límites de precisión.</w:t>
            </w:r>
          </w:p>
        </w:tc>
      </w:tr>
      <w:tr w14:paraId="17737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6D652E0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E20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804BF7C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P/SONAR_EVIDENCE_POST/Sonarqube TEST EVIDENCIAS/TEST10/Overview.pdf y Overview2.pdf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C57231E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Evidencia final New Code y Overall: Gate, coverage, duplicación, abiertos, aceptados y hotspots.</w:t>
            </w:r>
          </w:p>
        </w:tc>
      </w:tr>
      <w:tr w14:paraId="1D741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0BB5B0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E21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52EE543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P/SONAR_EVIDENCE_POST/Sonarqube TEST EVIDENCIAS/TEST3/Aceptacion Issue.png</w:t>
            </w:r>
          </w:p>
        </w:tc>
        <w:tc>
          <w:tcPr>
            <w:tcW w:w="3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B36841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S5693 Accepted individual y límite 10 MiB conservado.</w:t>
            </w:r>
          </w:p>
        </w:tc>
      </w:tr>
      <w:tr w14:paraId="4B73B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EA26DE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E22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E7D65E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P/SONAR_EVIDENCE_POST/Sonarqube TEST EVIDENCIAS/TEST1/Micodent_E13_Issues_SonarQube 1.pdf</w:t>
            </w:r>
          </w:p>
        </w:tc>
        <w:tc>
          <w:tcPr>
            <w:tcW w:w="332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D44D26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Fecha interna baseline y métricas Security 2 / Reliability 138 / Maintainability 313.</w:t>
            </w:r>
          </w:p>
        </w:tc>
      </w:tr>
    </w:tbl>
    <w:p w14:paraId="5E60B15A">
      <w:pPr>
        <w:spacing w:after="40"/>
      </w:pPr>
    </w:p>
    <w:p w14:paraId="61719635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También existen tres capturas Cypress referenciadas por E13, verificadas físicamente:</w:t>
      </w:r>
    </w:p>
    <w:p w14:paraId="39918D6A">
      <w:pPr>
        <w:pStyle w:val="29"/>
        <w:spacing w:after="40" w:line="259" w:lineRule="auto"/>
      </w:pPr>
      <w:r>
        <w:rPr>
          <w:rFonts w:ascii="Consolas" w:hAnsi="Consolas" w:eastAsia="Consolas"/>
          <w:color w:val="303030"/>
          <w:sz w:val="20"/>
        </w:rPr>
        <w:t>R/micodent-frontend/test-results/cypress/screenshots/micodent.cy.cjs/CYP-E2E-01-login-verificado (4).png</w:t>
      </w:r>
      <w:r>
        <w:rPr>
          <w:rFonts w:ascii="Arial" w:hAnsi="Arial" w:eastAsia="Arial"/>
          <w:color w:val="000000"/>
          <w:sz w:val="21"/>
        </w:rPr>
        <w:t>.</w:t>
      </w:r>
    </w:p>
    <w:p w14:paraId="758D0E78">
      <w:pPr>
        <w:pStyle w:val="29"/>
        <w:spacing w:after="40" w:line="259" w:lineRule="auto"/>
      </w:pPr>
      <w:r>
        <w:rPr>
          <w:rFonts w:ascii="Consolas" w:hAnsi="Consolas" w:eastAsia="Consolas"/>
          <w:color w:val="303030"/>
          <w:sz w:val="20"/>
        </w:rPr>
        <w:t>R/micodent-frontend/test-results/cypress/screenshots/micodent.cy.cjs/CYP-E2E-05-cita-sintetica (3).png</w:t>
      </w:r>
      <w:r>
        <w:rPr>
          <w:rFonts w:ascii="Arial" w:hAnsi="Arial" w:eastAsia="Arial"/>
          <w:color w:val="000000"/>
          <w:sz w:val="21"/>
        </w:rPr>
        <w:t>.</w:t>
      </w:r>
    </w:p>
    <w:p w14:paraId="36332ED7">
      <w:pPr>
        <w:pStyle w:val="29"/>
        <w:spacing w:after="40" w:line="259" w:lineRule="auto"/>
      </w:pPr>
      <w:r>
        <w:rPr>
          <w:rFonts w:ascii="Consolas" w:hAnsi="Consolas" w:eastAsia="Consolas"/>
          <w:color w:val="303030"/>
          <w:sz w:val="20"/>
        </w:rPr>
        <w:t>R/micodent-frontend/test-results/cypress/screenshots/micodent.cy.cjs/CYP-E2E-08-finanzas-sinteticas (3).png</w:t>
      </w:r>
      <w:r>
        <w:rPr>
          <w:rFonts w:ascii="Arial" w:hAnsi="Arial" w:eastAsia="Arial"/>
          <w:color w:val="000000"/>
          <w:sz w:val="21"/>
        </w:rPr>
        <w:t>.</w:t>
      </w:r>
    </w:p>
    <w:p w14:paraId="57BEAFF5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En la primera elaboración solo se disponía de evidencia intermedia en la raíz SONAR_EVIDENCE_POST. La consolidación amplió la inspección a Sonarqube TEST EVIDENCIAS y encontró los PDF y capturas finales TEST10. Esos archivos verifican 81.4%/97.4%/3.4%, Gate PASSED, cero abiertos y un aceptado. E19 contiene enlaces absolutos a todos los originales, sin renombrarlos.</w:t>
      </w:r>
    </w:p>
    <w:p w14:paraId="265A0F09">
      <w:pPr>
        <w:pStyle w:val="3"/>
      </w:pPr>
      <w:r>
        <w:t>17.2 Integridad de Artefactos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5"/>
        <w:gridCol w:w="6057"/>
      </w:tblGrid>
      <w:tr w14:paraId="0D8B5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8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6B39E0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Artefacto</w:t>
            </w:r>
          </w:p>
        </w:tc>
        <w:tc>
          <w:tcPr>
            <w:tcW w:w="498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F128DC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SHA-256 registrado y contrastado con el checkpoint</w:t>
            </w:r>
          </w:p>
        </w:tc>
      </w:tr>
      <w:tr w14:paraId="6D453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8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23516B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LCOV frontend</w:t>
            </w:r>
          </w:p>
        </w:tc>
        <w:tc>
          <w:tcPr>
            <w:tcW w:w="498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E8154F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B36B08031FA02C243B390E89105EF1BB630C01885B9BEB270F04729A7C691A42</w:t>
            </w:r>
          </w:p>
        </w:tc>
      </w:tr>
      <w:tr w14:paraId="664DC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784A0C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LCOV backend</w:t>
            </w:r>
          </w:p>
        </w:tc>
        <w:tc>
          <w:tcPr>
            <w:tcW w:w="498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477E88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E1E4F4E4C150AB59D0B25C241CBAC9DE6DBA62AE1C14E8EC6CDACB698692F088</w:t>
            </w:r>
          </w:p>
        </w:tc>
      </w:tr>
      <w:tr w14:paraId="42BA8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8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5ED533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run.json Cypress actual</w:t>
            </w:r>
          </w:p>
        </w:tc>
        <w:tc>
          <w:tcPr>
            <w:tcW w:w="4986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91F2BF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E3576DC40DEE90061234C453ED8F00B5D3A5272A62B72B52CC57D55BA48BA55A</w:t>
            </w:r>
          </w:p>
        </w:tc>
      </w:tr>
    </w:tbl>
    <w:p w14:paraId="733747FD">
      <w:pPr>
        <w:spacing w:after="40"/>
      </w:pPr>
    </w:p>
    <w:p w14:paraId="551313C3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Los hashes identifican contenido concreto; no prueban por sí solos fecha de ejecución, seguridad clínica ni cobertura Sonar. Los hashes Cypress anteriores conservados en E05/E06 pertenecen a corridas anteriores y no deben cotejarse como si fueran el mismo archivo actual.</w:t>
      </w:r>
    </w:p>
    <w:p w14:paraId="4A961AC0">
      <w:pPr>
        <w:pStyle w:val="3"/>
      </w:pPr>
      <w:r>
        <w:t>17.3 Datos Preparados para Gráficos Posteriores</w:t>
      </w:r>
    </w:p>
    <w:p w14:paraId="1235F84D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Las posiciones son hitos ordinales, no una escala temporal. No se asignan fechas de análisis no verificadas.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5C282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9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480393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Serie</w:t>
            </w:r>
          </w:p>
        </w:tc>
        <w:tc>
          <w:tcPr>
            <w:tcW w:w="199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661D9A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Hito</w:t>
            </w:r>
          </w:p>
        </w:tc>
        <w:tc>
          <w:tcPr>
            <w:tcW w:w="199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2F0727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  <w:tc>
          <w:tcPr>
            <w:tcW w:w="199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D4C925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Unidad</w:t>
            </w:r>
          </w:p>
        </w:tc>
        <w:tc>
          <w:tcPr>
            <w:tcW w:w="199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EB54D9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Estado de evidencia</w:t>
            </w:r>
          </w:p>
        </w:tc>
      </w:tr>
      <w:tr w14:paraId="72185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CBA9C9C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Issues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E56454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E13 inicial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59BA167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371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95A8D7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issues únicos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AB1968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</w:t>
            </w:r>
          </w:p>
        </w:tc>
      </w:tr>
      <w:tr w14:paraId="68160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553D2BD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Issues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8537E4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POST Familias 1-4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346D593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84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3F987B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issues únicos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7BA768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</w:t>
            </w:r>
          </w:p>
        </w:tc>
      </w:tr>
      <w:tr w14:paraId="6C8DD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D9E0BCC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Issues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43E339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Cierre TEST10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E7CAE63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0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8CAEA8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issues abiertos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453A98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</w:t>
            </w:r>
          </w:p>
        </w:tc>
      </w:tr>
      <w:tr w14:paraId="7F3FC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BC3667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Overall Coverage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43A1BE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Inicial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08C9603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0.0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5A39386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%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DC3921D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C/NV</w:t>
            </w:r>
          </w:p>
        </w:tc>
      </w:tr>
      <w:tr w14:paraId="4C998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108078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Overall Coverage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A0B165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POST inicial TEST2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B2D6E19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0.0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A44AF20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%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4D9CE7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V; distinto del baseline E13</w:t>
            </w:r>
          </w:p>
        </w:tc>
      </w:tr>
      <w:tr w14:paraId="24879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023E5D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Overall Coverage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FDE1628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POST P2 TEST5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EAD8723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47.0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7786698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%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40D072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</w:t>
            </w:r>
          </w:p>
        </w:tc>
      </w:tr>
      <w:tr w14:paraId="53244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0151ABC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Overall Coverage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36AF1B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TEST6/TEST7 antes D1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1700E6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75.8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0A990AF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%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4F35CA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</w:t>
            </w:r>
          </w:p>
        </w:tc>
      </w:tr>
      <w:tr w14:paraId="007D0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25DB9AE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Overall Coverage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A6EA91E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TEST8/TEST9 antes COV-G1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AC3E78A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76.6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BA6679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%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F08E8B4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</w:t>
            </w:r>
          </w:p>
        </w:tc>
      </w:tr>
      <w:tr w14:paraId="03D65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4044503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Overall Coverage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5C3DA5D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Final TEST10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B038FD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81.4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34032E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%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FA24A6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V; no sustituir por E</w:t>
            </w:r>
          </w:p>
        </w:tc>
      </w:tr>
      <w:tr w14:paraId="68913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9D4959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New Code Coverage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D03C766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Pre-P1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97405E7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0.8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3BBFAD3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%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B11ED7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C, E03/E08</w:t>
            </w:r>
          </w:p>
        </w:tc>
      </w:tr>
      <w:tr w14:paraId="2C195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776BB6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New Code Coverage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75FF3E6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TEST3 antes importación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943627C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0.0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812BB9A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%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106F8F4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</w:t>
            </w:r>
          </w:p>
        </w:tc>
      </w:tr>
      <w:tr w14:paraId="01505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F1F305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New Code Coverage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44E8D3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POST P1 TEST4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0BD4981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74.8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70064AE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%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F2E0DE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</w:t>
            </w:r>
          </w:p>
        </w:tc>
      </w:tr>
      <w:tr w14:paraId="0CEFA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E9ED7C9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New Code Coverage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8FD753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POST P2 TEST5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F433E5E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96.1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1EEC5E1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%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09E334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</w:t>
            </w:r>
          </w:p>
        </w:tc>
      </w:tr>
      <w:tr w14:paraId="7E32E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F544018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New Code Coverage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C2070C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Final TEST10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396527C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97.4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099245D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%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50C5187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</w:t>
            </w:r>
          </w:p>
        </w:tc>
      </w:tr>
      <w:tr w14:paraId="2677F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8BEE32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Overall Duplications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C0AC74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E13 inicial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F2B7F8F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6.2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FB8D8C5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%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B50A0D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C/NV</w:t>
            </w:r>
          </w:p>
        </w:tc>
      </w:tr>
      <w:tr w14:paraId="7B054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F5803C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Overall Duplications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4B4C056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POST inicial TEST2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8736A33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5.5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35B79F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%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E03BD36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</w:t>
            </w:r>
          </w:p>
        </w:tc>
      </w:tr>
      <w:tr w14:paraId="3A077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869431B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Overall Duplications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2CB728F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Antes D1 TEST5-TEST7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468273D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5.6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EF863A1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%</w:t>
            </w:r>
          </w:p>
        </w:tc>
        <w:tc>
          <w:tcPr>
            <w:tcW w:w="1994" w:type="dxa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6512E11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</w:t>
            </w:r>
          </w:p>
        </w:tc>
      </w:tr>
      <w:tr w14:paraId="41F36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ADC1A2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Overall Duplications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2A25595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Final TEST10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E4B2972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3.4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791F67B"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5"/>
              </w:rPr>
              <w:t>%</w:t>
            </w:r>
          </w:p>
        </w:tc>
        <w:tc>
          <w:tcPr>
            <w:tcW w:w="199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61B52EA"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V</w:t>
            </w:r>
          </w:p>
        </w:tc>
      </w:tr>
    </w:tbl>
    <w:p w14:paraId="266B6167">
      <w:pPr>
        <w:spacing w:after="40"/>
      </w:pPr>
    </w:p>
    <w:p w14:paraId="28852328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Hitos complementarios no incluidos en la serie abreviada: Overall 18.2% (E03/E08) y el PDF POST con Overall 0.0% y duplicación 5.5%. Deben rotularse como análisis/antecedentes específicos, no incorporarse con fechas supuestas.</w:t>
      </w:r>
    </w:p>
    <w:p w14:paraId="6D15610D">
      <w:pPr>
        <w:pStyle w:val="3"/>
      </w:pPr>
      <w:r>
        <w:t>17.4 Verificación de la Elaboración</w:t>
      </w:r>
    </w:p>
    <w:p w14:paraId="5A5345AC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Se leyeron las ocho fuentes obligatorias y el delta POST; se inspeccionaron git status/diff, configuración Sonar, LCOV/JSON, CSV y PDF histórico. Se comprobó por lectura estructurada: 371 claves iniciales, su partición exacta, 84 POST, 60 IDs académicos y 10 PASS Cypress. La consolidación posterior revisó íntegramente 28 archivos de diez conjuntos: 3 CSV, 10 PDF y 15 PNG. Se verificaron contenido/metadatos de PDF y todas las capturas; baseline y PDF finales también se contrastaron visualmente.</w:t>
      </w:r>
    </w:p>
    <w:p w14:paraId="3DBE935A">
      <w:pPr>
        <w:spacing w:after="120" w:line="276" w:lineRule="auto"/>
        <w:ind w:firstLine="283"/>
        <w:jc w:val="both"/>
      </w:pPr>
      <w:r>
        <w:rPr>
          <w:rFonts w:ascii="Arial" w:hAnsi="Arial" w:eastAsia="Arial"/>
          <w:color w:val="000000"/>
          <w:sz w:val="22"/>
        </w:rPr>
        <w:t>Las suites y el build no se repitieron: se utilizaron los resultados validados del checkpoint inmediato anterior. No se cambiaron pruebas, código funcional, configuración, base de datos, umbrales, dependencias ni evidencia preexistente. En la elaboración se creó este informe; en la consolidación solo se actualizó el informe y se creó SONAR_EVIDENCE_INDEX.md. No se ejecutó Sonar ni se realizó push.</w:t>
      </w:r>
    </w:p>
    <w:p w14:paraId="6A6C0494">
      <w:pPr>
        <w:spacing w:after="120" w:line="276" w:lineRule="auto"/>
        <w:ind w:firstLine="283"/>
        <w:jc w:val="both"/>
      </w:pPr>
      <w:r>
        <w:rPr>
          <w:rFonts w:ascii="Arial" w:hAnsi="Arial" w:eastAsia="Arial"/>
          <w:b/>
          <w:color w:val="000000"/>
          <w:sz w:val="22"/>
        </w:rPr>
        <w:t>Cierre:</w:t>
      </w:r>
      <w:r>
        <w:rPr>
          <w:rFonts w:ascii="Arial" w:hAnsi="Arial" w:eastAsia="Arial"/>
          <w:color w:val="000000"/>
          <w:sz w:val="22"/>
        </w:rPr>
        <w:t xml:space="preserve"> informe completo y consolidado. Métricas finales Sonar verificadas por evidencia TEST10; S5693 Accepted verificado por TEST3 y continuidad posterior. Se conservan N/D y reservas históricas donde falta evidencia, así como limitaciones de producción. Siguiente paso: revisar informe final y congelar baseline de calidad MICODENT.</w:t>
      </w:r>
    </w:p>
    <w:p w14:paraId="29E5DE61">
      <w:pPr>
        <w:spacing w:before="280"/>
        <w:jc w:val="center"/>
      </w:pPr>
      <w:r>
        <w:rPr>
          <w:rFonts w:ascii="Arial" w:hAnsi="Arial" w:eastAsia="Arial"/>
          <w:i/>
          <w:color w:val="787878"/>
          <w:sz w:val="18"/>
        </w:rPr>
        <w:t>— Fin del informe —</w:t>
      </w:r>
    </w:p>
    <w:sectPr>
      <w:headerReference r:id="rId5" w:type="default"/>
      <w:footerReference r:id="rId6" w:type="default"/>
      <w:pgSz w:w="12240" w:h="15840"/>
      <w:pgMar w:top="1134" w:right="1134" w:bottom="1134" w:left="1134" w:header="454" w:footer="45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AEE96">
    <w:pPr>
      <w:pStyle w:val="31"/>
      <w:jc w:val="right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3E3E3">
    <w:pPr>
      <w:pStyle w:val="23"/>
      <w:pBdr>
        <w:bottom w:val="single" w:color="D9E2F3" w:sz="4" w:space="1"/>
      </w:pBdr>
      <w:jc w:val="right"/>
    </w:pPr>
    <w:r>
      <w:rPr>
        <w:rFonts w:ascii="Arial" w:hAnsi="Arial" w:eastAsia="Arial"/>
        <w:color w:val="595959"/>
        <w:sz w:val="17"/>
      </w:rPr>
      <w:t>MICODENT | Informe técnico de calidad y pruebas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B1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  <w:jc w:val="both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320" w:after="14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40" w:after="100"/>
      <w:outlineLvl w:val="1"/>
    </w:pPr>
    <w:rPr>
      <w:rFonts w:asciiTheme="majorHAnsi" w:hAnsiTheme="majorHAnsi" w:eastAsiaTheme="majorEastAsia" w:cstheme="majorBidi"/>
      <w:b/>
      <w:bCs/>
      <w:color w:val="2F5496"/>
      <w:sz w:val="25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180" w:after="80"/>
      <w:outlineLvl w:val="2"/>
    </w:pPr>
    <w:rPr>
      <w:rFonts w:asciiTheme="majorHAnsi" w:hAnsiTheme="majorHAnsi" w:eastAsiaTheme="majorEastAsia" w:cstheme="majorBidi"/>
      <w:b/>
      <w:bCs/>
      <w:color w:val="444444"/>
      <w:sz w:val="23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pPr>
      <w:keepNext/>
      <w:spacing w:before="0" w:after="160"/>
    </w:pPr>
    <w:rPr>
      <w:rFonts w:asciiTheme="majorHAnsi" w:hAnsiTheme="majorHAnsi" w:eastAsiaTheme="majorEastAsia" w:cstheme="majorBidi"/>
      <w:b/>
      <w:i/>
      <w:iCs/>
      <w:color w:val="595959"/>
      <w:spacing w:val="15"/>
      <w:sz w:val="26"/>
      <w:szCs w:val="24"/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keepNext/>
      <w:pBdr>
        <w:bottom w:val="single" w:color="4F81BD" w:themeColor="accent1" w:sz="8" w:space="4"/>
      </w:pBdr>
      <w:spacing w:before="0" w:after="24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4">
    <w:name w:val="Code Block"/>
    <w:uiPriority w:val="0"/>
    <w:pPr>
      <w:spacing w:after="0" w:line="240" w:lineRule="auto"/>
      <w:ind w:left="283" w:right="283"/>
    </w:pPr>
    <w:rPr>
      <w:rFonts w:ascii="Consolas" w:hAnsi="Consolas" w:eastAsiaTheme="minorEastAsia" w:cstheme="minorBidi"/>
      <w:color w:val="323232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5915</Words>
  <Characters>35483</Characters>
  <Lines>0</Lines>
  <Paragraphs>0</Paragraphs>
  <TotalTime>1</TotalTime>
  <ScaleCrop>false</ScaleCrop>
  <LinksUpToDate>false</LinksUpToDate>
  <CharactersWithSpaces>40597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Alex Eduardo Rodriguez Aquino</dc:creator>
  <dc:description>Documento generado a partir del informe técnico consolidado proporcionado por el usuario.</dc:description>
  <cp:keywords>MICODENT, SonarQube, cobertura, Cypress, pruebas, calidad</cp:keywords>
  <cp:lastModifiedBy>Jamz</cp:lastModifiedBy>
  <dcterms:modified xsi:type="dcterms:W3CDTF">2026-10-04T17:24:00Z</dcterms:modified>
  <dc:subject>SonarQube, cobertura, pruebas automatizadas y Cypress E2E</dc:subject>
  <dc:title>Informe Técnico de Mejora de Calidad y Pruebas - Sistema MICODENT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eyJoZGlkIjoiOGI3MmI2YTNhZjFiNzBmY2IxY2MyNmUxOTllOTAyODkifQ==</vt:lpwstr>
  </property>
  <property fmtid="{D5CDD505-2E9C-101B-9397-08002B2CF9AE}" pid="3" name="KSOProductBuildVer">
    <vt:lpwstr>3082-12.1.0.28485</vt:lpwstr>
  </property>
  <property fmtid="{D5CDD505-2E9C-101B-9397-08002B2CF9AE}" pid="4" name="ICV">
    <vt:lpwstr>E002091ED8F645B18E33065C02B7FC76_12</vt:lpwstr>
  </property>
</Properties>
</file>