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俞嘉辉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302024315074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（一）实践分工：主责平台开发与调整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俞嘉辉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302024315074）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（一）实践分工：主责平台开发与调整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“数智共治”平台的开发，以及进村之后的调整。前期依据政策梳理和问卷结果搭建平台框架，力求功能完整、流程通顺；实地阶段，我按“先倾听、后演示”的原则配合对照测试，尽量避免用平台去引导村民的评价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根据现场反馈，我把平台从综合性的数字助老平台精简为以诉求登记、诉求列表、周汇总为核心的简易台账，并参与交付演示。这个调整的过程并不轻松，但也让我真正体会到，技术方案需要根据使用场景不断取舍，而不是一味叠加功能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技术价值的判断。过去我倾向于用功能完整、界面精致来衡量成果，现在认识到，能够演示只代表开发完成，并不意味着形成了服务闭环。技术下乡的意义，不在于搭建一套新体系，而在于看清基层的现实约束，用技术帮人把手头的事做得更顺手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我来说，这也是一次专业认知的修正：写出代码是专业基础，理解使用者和使用场景才是让技术产生价值的前提。今后无论做什么项目，我都会先问清楚“谁来用、在什么情况下用、用完能解决什么”，再决定技术上怎么做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