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李书旺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302024315348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2026年8月15日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二〇二六年八月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15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（一）实践分工：侧重座谈记录与复盘归纳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李书旺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302024315348）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开展实地检验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7月25日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7月26日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7月27日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</w:t>
              <w:br/>
            </w:r>
            <w:r>
              <w:rPr>
                <w:rFonts w:ascii="Times New Roman" w:hAnsi="Times New Roman"/>
                <w:b w:val="0"/>
                <w:sz w:val="21"/>
              </w:rPr>
              <w:t>7月28—29日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2E8A496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4434"/>
                  <wp:effectExtent l="0" t="0" r="2540" b="13335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45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CA9F80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图8  合心村共享法庭干部访谈</w:t>
            </w:r>
          </w:p>
        </w:tc>
        <w:tc>
          <w:tcPr>
            <w:tcW w:w="4450" w:type="dxa"/>
          </w:tcPr>
          <w:p w14:paraId="283600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Picture 9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4F5AD8A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图9  合心村共享法庭干部访谈</w:t>
            </w:r>
          </w:p>
        </w:tc>
      </w:tr>
    </w:tbl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365C5F9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5F07F0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图11  入户访谈（可见访谈提纲）</w:t>
            </w:r>
          </w:p>
        </w:tc>
        <w:tc>
          <w:tcPr>
            <w:tcW w:w="4450" w:type="dxa"/>
          </w:tcPr>
          <w:p w14:paraId="68931DE7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Picture 12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986F47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图12  入户访谈现场</w:t>
            </w:r>
          </w:p>
        </w:tc>
      </w:tr>
    </w:tbl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tbl>
      <w:tblPr>
        <w:tblW w:w="8900" w:type="dxa"/>
        <w:jc w:val="center"/>
        <w:tblLayout w:type="fixed"/>
        <w:tblCellMar>
          <w:left w:w="60" w:type="dxa"/>
          <w:right w:w="60" w:type="dxa"/>
        </w:tblCellMar>
      </w:tblPr>
      <w:tblGrid>
        <w:gridCol w:w="4450"/>
        <w:gridCol w:w="4450"/>
      </w:tblGrid>
      <w:tr>
        <w:trPr>
          <w:cantSplit/>
        </w:trPr>
        <w:tc>
          <w:tcPr>
            <w:tcW w:w="4450" w:type="dxa"/>
          </w:tcPr>
          <w:p w14:paraId="1D551304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5967"/>
                  <wp:effectExtent l="0" t="0" r="2540" b="10795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60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B379C6C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图14  入户平台演示</w:t>
            </w:r>
          </w:p>
        </w:tc>
        <w:tc>
          <w:tcPr>
            <w:tcW w:w="4450" w:type="dxa"/>
          </w:tcPr>
          <w:p w14:paraId="3542552F">
            <w:pPr>
              <w:keepNext/>
              <w:spacing w:before="200" w:after="40" w:line="240" w:lineRule="auto"/>
              <w:ind w:firstLine="0" w:firstLineChars="0"/>
              <w:jc w:val="center"/>
            </w:pPr>
            <w:r>
              <w:drawing>
                <wp:inline distT="0" distB="0" distL="114300" distR="114300">
                  <wp:extent cx="2650000" cy="1987500"/>
                  <wp:effectExtent l="0" t="0" r="2540" b="8255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5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50000" cy="1987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5C46C76">
            <w:pPr>
              <w:spacing w:before="40" w:after="200" w:line="400" w:lineRule="exact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1"/>
              </w:rPr>
              <w:t>图15  入户平台页面演示</w:t>
            </w:r>
          </w:p>
        </w:tc>
      </w:tr>
    </w:tbl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3600000" cy="2700000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平台落地效果不及预期，不是单一原因导致的，而是从设计到结构多层因素共同作用的结果。由内到外、由浅入深，可分为四层逻辑，这一逻辑不仅适用于合心村，也可能是基层数字项目普遍面临的困境之一。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并不少见：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（一）实践分工：侧重座谈记录与复盘归纳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我全程参与座谈、入户和成果交付，主要承担座谈记录与阶段性复盘归纳。座谈和入户中，我注重完整保留受访者的表述，尽量使用原话而不是自己的转述，以便后续分析时能够回到最初的语境。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复盘时，我把分散的访谈信息加以归类，归纳为“供给重叠、需求错位、承接机制缺失”等初步判断，为报告的分析框架提供了素材。这个过程让我体会到，从零散信息中提炼问题，需要不断回到现场事实去检验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最深的体会是，形式上的认可替代不了责任主体的缺位。工单模式再规范，没有人长期承接，也只剩演示价值；新增的平行体系与既有服务链条衔接不上，流程再完整也难以发挥作用。同时，纸质指引可以即时使用而电子台账只能先试用，也说明交付不等于落地，评价实践成效必须尊重现场的真实运行状态。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这让我对“服务”二字有了新的理解：服务不是把事情设计得多周全，而是有人接得住、做得成。今后看待任何实践项目，我都会先看它有没有明确的承接主体，再看它的形式是否完整。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