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俞嘉辉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302024315074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（一）实践分工：主责平台开发与调整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俞嘉辉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302024315074）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3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8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（一）实践分工：主责平台开发与调整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“数智共治”平台的开发，以及进村之后的调整。前期依据政策梳理和问卷结果搭建平台框架，力求功能完整、流程通顺；实地阶段，我按“先倾听、后演示”的原则配合对照测试，尽量避免用平台去引导村民的评价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根据现场反馈，我把平台从综合性的数字助老平台精简为以诉求登记、诉求列表、周汇总为核心的简易台账，并参与交付演示。这个调整的过程并不轻松，但也让我真正体会到，技术方案需要根据使用场景不断取舍，而不是一味叠加功能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技术价值的判断。过去我倾向于用功能完整、界面精致来衡量成果，现在认识到，能够演示只代表开发完成，并不意味着形成了服务闭环。技术下乡的意义，不在于搭建一套新体系，而在于看清基层的现实约束，用技术帮人把手头的事做得更顺手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我来说，这也是一次专业认知的修正：写出代码是专业基础，理解使用者和使用场景才是让技术产生价值的前提。今后无论做什么项目，我都会先问清楚“谁来用、在什么情况下用、用完能解决什么”，再决定技术上怎么做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