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 standalone="yes"?>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<w:body><w:p w14:paraId="00000001"><w:pPr><w:rPr /><w:pStyle w:val="Title" /></w:pPr><w:r><w:rPr /><w:t xml:space="preserve">Business Plan & Feasibility Study: Fully Automated Robotic Kebab Kiosk in Latvia</w:t></w:r></w:p><w:p w14:paraId="00000002"><w:pPr><w:rPr /></w:pPr><w:r><w:rPr /><w:t xml:space="preserve">1. Executive Summary</w:t></w:r></w:p><w:p w14:paraId="00000003"><w:pPr><w:rPr /></w:pPr><w:r><w:rPr /><w:t xml:space="preserve">This feasibility study and project proposal outlines the technical, regulatory, and financial roadmap for establishing a fully automated, unmanned robotic kebab kiosk in Latvia. </w:t></w:r></w:p><w:p w14:paraId="00000004"><w:pPr><w:rPr /></w:pPr><w:r><w:rPr /><w:t xml:space="preserve">The concept utilizes food-grade industrial robotics (collaborative arms, automated thermal slicing, peristaltic sauce dosing, and heated carousel delivery) to eliminate human direct contact during food assembly. The business benefits from Latvia&apos;s competitive tax framework (0% Corporate Income Tax on reinvested earnings), automated POS fiscal compliance with the State Revenue Service (VID), and strict alignment with EU Food and Veterinary Service (PVD) regulations.</w:t></w:r></w:p><w:p w14:paraId="00000005"><w:pPr><w:rPr /></w:pPr><w:r><w:rPr /><w:t xml:space="preserve">2. Market Context &amp; Corporate Structure in Latvia</w:t></w:r></w:p><w:p w14:paraId="00000006"><w:pPr><w:rPr /></w:pPr><w:r><w:rPr /><w:t xml:space="preserve">2.1 Corporate Structure</w:t></w:r></w:p><w:p w14:paraId="00000007"><w:pPr><w:rPr /></w:pPr><w:r><w:rPr /><w:t xml:space="preserve">The recommended corporate vehicle is a Latvian Limited Liability Company (SIA - Sabiedrība ar ierobežotu atbildību), registered with the Enterprise Register (Uzņēmumu reģistrs).</w:t></w:r></w:p><w:p w14:paraId="00000008"><w:pPr><w:rPr /></w:pPr><w:r><w:rPr /><w:t xml:space="preserve">- Minimum Share Capital: €2,800 standard (or reduced-capital starting at €1).</w:t></w:r></w:p><w:p w14:paraId="00000009"><w:pPr><w:rPr /></w:pPr><w:r><w:rPr /><w:t xml:space="preserve">- Corporate Tax Rate: 0% CIT on undistributed profits; 20% flat net tax (25% effective) only upon dividend distribution.</w:t></w:r></w:p><w:p w14:paraId="0000000a"><w:pPr><w:rPr /></w:pPr><w:r><w:rPr /><w:t xml:space="preserve">- Value Added Tax (VAT): 21% standard rate.</w:t></w:r></w:p><w:p w14:paraId="0000000b"><w:pPr><w:rPr /></w:pPr><w:r><w:rPr /><w:t xml:space="preserve">2.2 Fiscalization Requirements</w:t></w:r></w:p><w:p w14:paraId="0000000c"><w:pPr><w:rPr /></w:pPr><w:r><w:rPr /><w:t xml:space="preserve">In accordance with Cabinet Regulation No. 96 and VID requirements, all retail vending/kiosk systems must be connected to an approved fiscal electronic cash register or certified electronic payment gateway transmitting transaction events to VID.</w:t></w:r></w:p><w:p w14:paraId="0000000d"><w:pPr><w:rPr /></w:pPr><w:r><w:rPr /><w:t xml:space="preserve">3. Technical Architecture and Hardware Specifications</w:t></w:r></w:p><w:p w14:paraId="0000000e"><w:pPr><w:rPr /></w:pPr><w:r><w:rPr /><w:t xml:space="preserve">3.1 Robotics &amp; Automation Cell</w:t></w:r></w:p><w:p w14:paraId="0000000f"><w:pPr><w:rPr /></w:pPr><w:r><w:rPr /><w:t xml:space="preserve">- Robotic Arm: 6-axis collaborative robotic arm (UR5e / Dobot CR5 or equivalent) with IP67/IP69K food-grade washdown rating and NSF-certified food-grade lubricants.</w:t></w:r></w:p><w:p w14:paraId="00000010"><w:pPr><w:rPr /></w:pPr><w:r><w:rPr /><w:t xml:space="preserve">- Meat Slicing Unit: Motorized automated vertical rotary slicer with laser/infrared contour sensing to gauge meat roast level before slicing.</w:t></w:r></w:p><w:p w14:paraId="00000011"><w:pPr><w:rPr /></w:pPr><w:r><w:rPr /><w:t xml:space="preserve">- Dispensing Systems:</w:t></w:r></w:p><w:p w14:paraId="00000012"><w:pPr><w:rPr /></w:pPr><w:r><w:rPr /><w:t xml:space="preserve">  * Vegetable/Salad Dispenser: Refrigerated multi-hopper vibratory or auger feeders maintaining &lt; +5°C.</w:t></w:r></w:p><w:p w14:paraId="00000013"><w:pPr><w:rPr /></w:pPr><w:r><w:rPr /><w:t xml:space="preserve">  * Sauce Dispenser: Precision peristaltic pumps with anti-drip pneumatic pinch valves.</w:t></w:r></w:p><w:p w14:paraId="00000014"><w:pPr><w:rPr /></w:pPr><w:r><w:rPr /><w:t xml:space="preserve">  * Bread Handling: Automated vertical flatbread/pita warmer and loading carousel.</w:t></w:r></w:p><w:p w14:paraId="00000015"><w:pPr><w:rPr /></w:pPr><w:r><w:rPr /><w:t xml:space="preserve">- Customer Delivery Hatch: Double-door motorized airlock pickup locker with UV-C surface sanitization between pickups.</w:t></w:r></w:p><w:p w14:paraId="00000016"><w:pPr><w:rPr /></w:pPr><w:r><w:rPr /><w:t xml:space="preserve">3.2 Clean-In-Place (CIP) &amp; Automated Sanitation</w:t></w:r></w:p><w:p w14:paraId="00000017"><w:pPr><w:rPr /></w:pPr><w:r><w:rPr /><w:t xml:space="preserve">- Automated internal wash cycles delivering 82°C hot water rinses and food-grade alkaline sanitizing solution.</w:t></w:r></w:p><w:p w14:paraId="00000018"><w:pPr><w:rPr /></w:pPr><w:r><w:rPr /><w:t xml:space="preserve">- Drainage equipped with automatic grease trap (tauku uztvērējs) compliant with municipal environmental standards.</w:t></w:r></w:p><w:p w14:paraId="00000019"><w:pPr><w:rPr /></w:pPr><w:r><w:rPr /><w:t xml:space="preserve">4. Financial Analysis &amp; Unit Economics</w:t></w:r></w:p><w:p w14:paraId="0000001a"><w:pPr><w:rPr /></w:pPr><w:r><w:rPr /><w:t xml:space="preserve">4.1 Initial Capital Expenditure (CapEx)</w:t></w:r></w:p><w:p w14:paraId="0000001b"><w:pPr><w:rPr /></w:pPr><w:r><w:rPr /><w:t xml:space="preserve">- Robotic Hardware &amp; Manipulators: €65,000 - €110,000</w:t></w:r></w:p><w:p w14:paraId="0000001c"><w:pPr><w:rPr /></w:pPr><w:r><w:rPr /><w:t xml:space="preserve">- Custom Enclosure (Food-grade 304/316 Stainless Steel &amp; Safety Glass): €18,000 - €30,000</w:t></w:r></w:p><w:p w14:paraId="0000001d"><w:pPr><w:rPr /></w:pPr><w:r><w:rPr /><w:t xml:space="preserve">- Mechanical, Electrical &amp; Plumbing (3-phase, HVAC, CIP, Grease Trap): €12,000 - €22,000</w:t></w:r></w:p><w:p w14:paraId="0000001e"><w:pPr><w:rPr /></w:pPr><w:r><w:rPr /><w:t xml:space="preserve">- Sensors, Computer Vision &amp; Industrial PC / PLC: €7,000 - €15,000</w:t></w:r></w:p><w:p w14:paraId="0000001f"><w:pPr><w:rPr /></w:pPr><w:r><w:rPr /><w:t xml:space="preserve">- Self-Service Terminal &amp; VID Fiscal Module: €2,500 - €4,500</w:t></w:r></w:p><w:p w14:paraId="00000020"><w:pPr><w:rPr /></w:pPr><w:r><w:rPr /><w:t xml:space="preserve">- CE Certification (Machinery Directive 2006/42/EC) &amp; Legal: €6,000 - €12,000</w:t></w:r></w:p><w:p w14:paraId="00000021"><w:pPr><w:rPr /></w:pPr><w:r><w:rPr /><w:t xml:space="preserve">- Site Hookup, Delivery &amp; Assembly: €4,000 - €10,000</w:t></w:r></w:p><w:p w14:paraId="00000022"><w:pPr><w:rPr /></w:pPr><w:r><w:rPr /><w:t xml:space="preserve">Total CapEx: €114,500 - €203,500 (Midpoint: ~€155,000)</w:t></w:r></w:p><w:p w14:paraId="00000023"><w:pPr><w:rPr /></w:pPr><w:r><w:rPr /><w:t xml:space="preserve">4.2 Monthly Operating Expenditure (OpEx)</w:t></w:r></w:p><w:p w14:paraId="00000024"><w:pPr><w:rPr /></w:pPr><w:r><w:rPr /><w:t xml:space="preserve">- Location Lease (Mall or Outdoor Footprint): €600 - €2,500</w:t></w:r></w:p><w:p w14:paraId="00000025"><w:pPr><w:rPr /></w:pPr><w:r><w:rPr /><w:t xml:space="preserve">- Maintenance &amp; Restocking Contract (Part-time technician): €1,200 - €2,200</w:t></w:r></w:p><w:p w14:paraId="00000026"><w:pPr><w:rPr /></w:pPr><w:r><w:rPr /><w:t xml:space="preserve">- Utilities (3-Phase Electricity, Water, Internet Telemetry): €400 - €900</w:t></w:r></w:p><w:p w14:paraId="00000027"><w:pPr><w:rPr /></w:pPr><w:r><w:rPr /><w:t xml:space="preserve">- Maintenance Reserve &amp; Consumables: €300 - €600</w:t></w:r></w:p><w:p w14:paraId="00000028"><w:pPr><w:rPr /></w:pPr><w:r><w:rPr /><w:t xml:space="preserve">Total Fixed Monthly OpEx: €2,500 - €6,200</w:t></w:r></w:p><w:p w14:paraId="00000029"><w:pPr><w:rPr /></w:pPr><w:r><w:rPr /><w:t xml:space="preserve">4.3 Unit Economics &amp; Breakeven</w:t></w:r></w:p><w:p w14:paraId="0000002a"><w:pPr><w:rPr /></w:pPr><w:r><w:rPr /><w:t xml:space="preserve">- Average Selling Price (Kebab + Beverage): €8.50</w:t></w:r></w:p><w:p w14:paraId="0000002b"><w:pPr><w:rPr /></w:pPr><w:r><w:rPr /><w:t xml:space="preserve">- Cost of Goods Sold (COGS - 28%): €2.38</w:t></w:r></w:p><w:p w14:paraId="0000002c"><w:pPr><w:rPr /></w:pPr><w:r><w:rPr /><w:t xml:space="preserve">- Gross Margin per Unit: €6.12</w:t></w:r></w:p><w:p w14:paraId="0000002d"><w:pPr><w:rPr /></w:pPr><w:r><w:rPr /><w:t xml:space="preserve">- Monthly Fixed OpEx (Average): €3,800</w:t></w:r></w:p><w:p w14:paraId="0000002e"><w:pPr><w:rPr /></w:pPr><w:r><w:rPr /><w:t xml:space="preserve">- Breakeven Sales Volume: ~620 kebabs/month (~21 kebabs/day).</w:t></w:r></w:p><w:p w14:paraId="0000002f"><w:pPr><w:rPr /></w:pPr><w:r><w:rPr /><w:t xml:space="preserve">- At 120 kebabs/day: Monthly net cash flow before tax is approximately €18,200, achieving capital payback in under 10 months.</w:t></w:r></w:p><w:p w14:paraId="00000030"><w:pPr><w:rPr /></w:pPr><w:r><w:rPr /><w:t xml:space="preserve">5. PVD Food Safety &amp; Regulatory Roadmap</w:t></w:r></w:p><w:p w14:paraId="00000031"><w:pPr><w:rPr /></w:pPr><w:r><w:rPr /><w:t xml:space="preserve">The Food and Veterinary Service (PVD) regulates operations under EU Regulations (EC) 852/2004 and 178/2002.</w:t></w:r></w:p><w:p w14:paraId="00000032"><w:pPr><w:rPr /></w:pPr><w:r><w:rPr /><w:t xml:space="preserve">- Step 1: Formulate a specialized Robotic HACCP Plan establishing continuous temperature monitoring at CCP-1 (raw storage &lt;= 4°C) and CCP-2 (core cooking &gt;= 75°C).</w:t></w:r></w:p><w:p w14:paraId="00000033"><w:pPr><w:rPr /></w:pPr><w:r><w:rPr /><w:t xml:space="preserve">- Step 2: Acquire EU 1935/2004 declarations of compliance for all food-contact surfaces, tubing, and mechanical grippers.</w:t></w:r></w:p><w:p w14:paraId="00000034"><w:pPr><w:rPr /></w:pPr><w:r><w:rPr /><w:t xml:space="preserve">- Step 3: Establish supplier audit trails and cold-chain reception protocols.</w:t></w:r></w:p><w:p w14:paraId="00000035"><w:pPr><w:rPr /></w:pPr><w:r><w:rPr /><w:t xml:space="preserve">- Step 4: Submit the enterprise registration dossier via the PVD portal.</w:t></w:r></w:p><w:p w14:paraId="00000036"><w:pPr><w:rPr /></w:pPr><w:r><w:rPr /><w:t xml:space="preserve">- Step 5: Host the on-site PVD audit, demonstrating emergency stop, CIP wash cycle, and pest isolation.</w:t></w:r></w:p><w:p w14:paraId="00000037"><w:pPr><w:rPr /></w:pPr><w:r><w:rPr /><w:t xml:space="preserve">- Step 6: Obtain the official PVD Food Enterprise Registration number.</w:t></w:r></w:p><w:p w14:paraId="00000038"><w:pPr><w:rPr /></w:pPr><w:r><w:rPr /><w:t xml:space="preserve">6. Site Selection: Outdoor Modular Container vs. Indoor Shopping Mall</w:t></w:r></w:p><w:p w14:paraId="00000039"><w:pPr><w:rPr /></w:pPr><w:r><w:rPr /><w:t xml:space="preserve">6.1 Outdoor Modular Unit</w:t></w:r></w:p><w:p w14:paraId="0000003a"><w:pPr><w:rPr /></w:pPr><w:r><w:rPr /><w:t xml:space="preserve">- Advantages: 24/7 round-the-clock sales capturing night-life demand; independence from landlord hours.</w:t></w:r></w:p><w:p w14:paraId="0000003b"><w:pPr><w:rPr /></w:pPr><w:r><w:rPr /><w:t xml:space="preserve">- Challenges: Requires municipal construction board (Būvvalde) building and trade permits; winter weather conditioning (-20°C freeze protection); complex civil utility connections.</w:t></w:r></w:p><w:p w14:paraId="0000003c"><w:pPr><w:rPr /></w:pPr><w:r><w:rPr /><w:t xml:space="preserve">6.2 Indoor Shopping Mall / Transit Hub</w:t></w:r></w:p><w:p w14:paraId="0000003d"><w:pPr><w:rPr /></w:pPr><w:r><w:rPr /><w:t xml:space="preserve">- Advantages: Turnkey 3-phase power, water, and drainage access; high footfall immune to seasonality; no municipal construction permits required.</w:t></w:r></w:p><w:p w14:paraId="0000003e"><w:pPr><w:rPr /></w:pPr><w:r><w:rPr /><w:t xml:space="preserve">- Challenges: Restricted operating hours (10:00 - 21:00/22:00); higher rental cost plus turnover royalties.</w:t></w:r></w:p><w:p w14:paraId="0000003f"><w:pPr><w:rPr /></w:pPr><w:r><w:rPr /><w:t xml:space="preserve">7. Conclusion and Next Steps</w:t></w:r></w:p><w:p w14:paraId="00000040"><w:pPr><w:rPr /></w:pPr><w:r><w:rPr /><w:t xml:space="preserve">The robotic kebab kiosk presents a commercially viable, high-margin model in Latvia. Immediate next milestones involve locking machine CE conformity documentation, securing preliminary site intent letters, and initiating formal pre-consultations with the PVD.</w:t></w:r></w:p><w:sectPr><w:pgSz w:w="11906" w:h="16838" /><w:pgMar w:top="1985" w:right="1701" w:bottom="1701" w:left="1701" w:header="851" w:footer="992" w:gutter="0" /><w:cols w:space="425" w:num="1" /></w:sectPr></w:body>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