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line="276"/>
        <w:jc w:val="left"/>
      </w:pPr>
    </w:p>
    <w:p>
      <w:pPr>
        <w:spacing w:after="60" w:before="0"/>
        <w:jc w:val="center"/>
      </w:pPr>
      <w:r>
        <w:rPr>
          <w:rFonts w:ascii="Arial" w:cs="Arial" w:eastAsia="Arial" w:hAnsi="Arial"/>
          <w:b/>
          <w:bCs/>
          <w:i w:val="false"/>
          <w:iCs w:val="false"/>
          <w:caps/>
          <w:color w:val="5A5A5A"/>
          <w:sz w:val="20"/>
          <w:szCs w:val="20"/>
        </w:rPr>
        <w:t xml:space="preserve">STUDIOOS AI</w:t>
      </w:r>
    </w:p>
    <w:p>
      <w:pPr>
        <w:spacing w:after="60" w:before="0"/>
        <w:jc w:val="center"/>
      </w:pPr>
      <w:r>
        <w:rPr>
          <w:rFonts w:ascii="Arial" w:cs="Arial" w:eastAsia="Arial" w:hAnsi="Arial"/>
          <w:b/>
          <w:bCs/>
          <w:i w:val="false"/>
          <w:iCs w:val="false"/>
          <w:caps/>
          <w:color w:val="1A2E4A"/>
          <w:sz w:val="38"/>
          <w:szCs w:val="38"/>
        </w:rPr>
        <w:t xml:space="preserve">SPV Joinder Agreement</w:t>
      </w:r>
    </w:p>
    <w:p>
      <w:pPr>
        <w:spacing w:after="300" w:before="0"/>
        <w:jc w:val="center"/>
      </w:pPr>
      <w:r>
        <w:rPr>
          <w:rFonts w:ascii="Arial" w:cs="Arial" w:eastAsia="Arial" w:hAnsi="Arial"/>
          <w:b w:val="false"/>
          <w:bCs w:val="false"/>
          <w:i/>
          <w:iCs/>
          <w:caps w:val="false"/>
          <w:color w:val="5A5A5A"/>
          <w:sz w:val="22"/>
          <w:szCs w:val="22"/>
        </w:rPr>
        <w:t xml:space="preserve">Syndicate Limited Partner Admission</w:t>
      </w:r>
    </w:p>
    <w:p>
      <w:pPr>
        <w:pBdr>
          <w:bottom w:val="single" w:color="1A2E4A" w:sz="8" w:space="4"/>
        </w:pBdr>
        <w:spacing w:after="0" w:before="0"/>
        <w:jc w:val="center"/>
      </w:pPr>
      <w:r>
        <w:rPr>
          <w:rFonts w:ascii="Arial" w:cs="Arial" w:eastAsia="Arial" w:hAnsi="Arial"/>
          <w:b w:val="false"/>
          <w:bCs w:val="false"/>
          <w:i w:val="false"/>
          <w:iCs w:val="false"/>
          <w:caps w:val="false"/>
          <w:color w:val="111111"/>
          <w:sz w:val="20"/>
          <w:szCs w:val="20"/>
        </w:rPr>
        <w:t xml:space="preserve"/>
      </w:r>
    </w:p>
    <w:p>
      <w:pPr>
        <w:spacing w:after="0" w:before="300" w:line="276"/>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SPV Name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SPV [SERIES], LLC, a Delaware limited liability company</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SPV Manager</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GP, LLC (the "Manager")</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Master Fund</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Venture Fund I, LP</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Governing Law</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State of Delaware, United States of America</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Target Company</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[TARGET PORTFOLIO COMPANY NAME]</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SPV Close Date</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[DATE]</w:t>
            </w:r>
          </w:p>
        </w:tc>
      </w:tr>
    </w:tbl>
    <w:p>
      <w:pPr>
        <w:spacing w:after="0" w:before="240" w:line="276"/>
        <w:jc w:val="left"/>
      </w:pPr>
    </w:p>
    <w:p>
      <w:pPr>
        <w:spacing w:after="40" w:before="100"/>
        <w:jc w:val="center"/>
      </w:pPr>
      <w:r>
        <w:rPr>
          <w:rFonts w:ascii="Arial" w:cs="Arial" w:eastAsia="Arial" w:hAnsi="Arial"/>
          <w:b/>
          <w:bCs/>
          <w:i w:val="false"/>
          <w:iCs w:val="false"/>
          <w:caps/>
          <w:color w:val="AA2222"/>
          <w:sz w:val="18"/>
          <w:szCs w:val="18"/>
        </w:rPr>
        <w:t xml:space="preserve">CONFIDENTIAL</w:t>
      </w:r>
    </w:p>
    <w:p>
      <w:pPr>
        <w:spacing w:after="60" w:before="0"/>
        <w:jc w:val="center"/>
      </w:pPr>
      <w:r>
        <w:rPr>
          <w:rFonts w:ascii="Arial" w:cs="Arial" w:eastAsia="Arial" w:hAnsi="Arial"/>
          <w:b w:val="false"/>
          <w:bCs w:val="false"/>
          <w:i/>
          <w:iCs/>
          <w:caps w:val="false"/>
          <w:color w:val="5A5A5A"/>
          <w:sz w:val="17"/>
          <w:szCs w:val="17"/>
        </w:rPr>
        <w:t xml:space="preserve">Date: [INSERT DATE]    Version: 1.0</w:t>
      </w:r>
    </w:p>
    <w:p>
      <w:pPr>
        <w:spacing w:after="0" w:before="0"/>
      </w:pPr>
      <w:r>
        <w:br w:type="page"/>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SPV JOINDER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SPV Joinder Agreement (this "Joinder") is entered into as of [DATE] (the "Effective Date") by and among StudioOS AI SPV [SERIES], LLC, a Delaware limited liability company (the "SPV"), StudioOS AI GP, LLC, a Delaware limited liability company, as manager of the SPV (the "Manager"), and the undersigned investor (the "Joining Member"), for the purpose of admitting the Joining Member as a member of the SPV and binding the Joining Member to the terms of the SPV Operating Agreement (as defined below).</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w:t>
      </w:r>
      <w:r>
        <w:rPr>
          <w:rFonts w:ascii="Arial" w:cs="Arial" w:eastAsia="Arial" w:hAnsi="Arial"/>
          <w:b/>
          <w:bCs/>
          <w:i w:val="false"/>
          <w:iCs w:val="false"/>
          <w:caps w:val="false"/>
          <w:color w:val="1A2E4A"/>
          <w:sz w:val="22"/>
          <w:szCs w:val="22"/>
        </w:rPr>
        <w:t xml:space="preserve">    DEFINITIONS</w:t>
      </w:r>
    </w:p>
    <w:p>
      <w:pPr>
        <w:spacing w:after="55" w:before="55" w:line="290"/>
        <w:ind w:left="360" w:hanging="0"/>
        <w:jc w:val="left"/>
      </w:pPr>
      <w:r>
        <w:rPr>
          <w:rFonts w:ascii="Arial" w:cs="Arial" w:eastAsia="Arial" w:hAnsi="Arial"/>
          <w:b/>
          <w:bCs/>
          <w:i w:val="false"/>
          <w:iCs w:val="false"/>
          <w:caps w:val="false"/>
          <w:color w:val="1A2E4A"/>
          <w:sz w:val="20"/>
          <w:szCs w:val="20"/>
        </w:rPr>
        <w:t xml:space="preserve">"Carried Interest"</w:t>
      </w:r>
      <w:r>
        <w:rPr>
          <w:rFonts w:ascii="Arial" w:cs="Arial" w:eastAsia="Arial" w:hAnsi="Arial"/>
          <w:b w:val="false"/>
          <w:bCs w:val="false"/>
          <w:i w:val="false"/>
          <w:iCs w:val="false"/>
          <w:caps w:val="false"/>
          <w:color w:val="3A3A3A"/>
          <w:sz w:val="20"/>
          <w:szCs w:val="20"/>
        </w:rPr>
        <w:t xml:space="preserve"> means the Manager's allocation of twenty percent (20%) of Net Profits after return of capital to Members, as more particularly described in Article V.</w:t>
      </w:r>
    </w:p>
    <w:p>
      <w:pPr>
        <w:spacing w:after="55" w:before="55" w:line="290"/>
        <w:ind w:left="360" w:hanging="0"/>
        <w:jc w:val="left"/>
      </w:pPr>
      <w:r>
        <w:rPr>
          <w:rFonts w:ascii="Arial" w:cs="Arial" w:eastAsia="Arial" w:hAnsi="Arial"/>
          <w:b/>
          <w:bCs/>
          <w:i w:val="false"/>
          <w:iCs w:val="false"/>
          <w:caps w:val="false"/>
          <w:color w:val="1A2E4A"/>
          <w:sz w:val="20"/>
          <w:szCs w:val="20"/>
        </w:rPr>
        <w:t xml:space="preserve">"Commitment"</w:t>
      </w:r>
      <w:r>
        <w:rPr>
          <w:rFonts w:ascii="Arial" w:cs="Arial" w:eastAsia="Arial" w:hAnsi="Arial"/>
          <w:b w:val="false"/>
          <w:bCs w:val="false"/>
          <w:i w:val="false"/>
          <w:iCs w:val="false"/>
          <w:caps w:val="false"/>
          <w:color w:val="3A3A3A"/>
          <w:sz w:val="20"/>
          <w:szCs w:val="20"/>
        </w:rPr>
        <w:t xml:space="preserve"> means the total capital commitment of the Joining Member to the SPV, as set forth in Schedule A.</w:t>
      </w:r>
    </w:p>
    <w:p>
      <w:pPr>
        <w:spacing w:after="55" w:before="55" w:line="290"/>
        <w:ind w:left="360" w:hanging="0"/>
        <w:jc w:val="left"/>
      </w:pPr>
      <w:r>
        <w:rPr>
          <w:rFonts w:ascii="Arial" w:cs="Arial" w:eastAsia="Arial" w:hAnsi="Arial"/>
          <w:b/>
          <w:bCs/>
          <w:i w:val="false"/>
          <w:iCs w:val="false"/>
          <w:caps w:val="false"/>
          <w:color w:val="1A2E4A"/>
          <w:sz w:val="20"/>
          <w:szCs w:val="20"/>
        </w:rPr>
        <w:t xml:space="preserve">"Drawdown"</w:t>
      </w:r>
      <w:r>
        <w:rPr>
          <w:rFonts w:ascii="Arial" w:cs="Arial" w:eastAsia="Arial" w:hAnsi="Arial"/>
          <w:b w:val="false"/>
          <w:bCs w:val="false"/>
          <w:i w:val="false"/>
          <w:iCs w:val="false"/>
          <w:caps w:val="false"/>
          <w:color w:val="3A3A3A"/>
          <w:sz w:val="20"/>
          <w:szCs w:val="20"/>
        </w:rPr>
        <w:t xml:space="preserve"> means a capital call made by the Manager pursuant to Section 4.2.</w:t>
      </w:r>
    </w:p>
    <w:p>
      <w:pPr>
        <w:spacing w:after="55" w:before="55" w:line="290"/>
        <w:ind w:left="360" w:hanging="0"/>
        <w:jc w:val="left"/>
      </w:pPr>
      <w:r>
        <w:rPr>
          <w:rFonts w:ascii="Arial" w:cs="Arial" w:eastAsia="Arial" w:hAnsi="Arial"/>
          <w:b/>
          <w:bCs/>
          <w:i w:val="false"/>
          <w:iCs w:val="false"/>
          <w:caps w:val="false"/>
          <w:color w:val="1A2E4A"/>
          <w:sz w:val="20"/>
          <w:szCs w:val="20"/>
        </w:rPr>
        <w:t xml:space="preserve">"Investment"</w:t>
      </w:r>
      <w:r>
        <w:rPr>
          <w:rFonts w:ascii="Arial" w:cs="Arial" w:eastAsia="Arial" w:hAnsi="Arial"/>
          <w:b w:val="false"/>
          <w:bCs w:val="false"/>
          <w:i w:val="false"/>
          <w:iCs w:val="false"/>
          <w:caps w:val="false"/>
          <w:color w:val="3A3A3A"/>
          <w:sz w:val="20"/>
          <w:szCs w:val="20"/>
        </w:rPr>
        <w:t xml:space="preserve"> means the SPV's direct or indirect investment in the Target Company, as described in Schedule B.</w:t>
      </w:r>
    </w:p>
    <w:p>
      <w:pPr>
        <w:spacing w:after="55" w:before="55" w:line="290"/>
        <w:ind w:left="360" w:hanging="0"/>
        <w:jc w:val="left"/>
      </w:pPr>
      <w:r>
        <w:rPr>
          <w:rFonts w:ascii="Arial" w:cs="Arial" w:eastAsia="Arial" w:hAnsi="Arial"/>
          <w:b/>
          <w:bCs/>
          <w:i w:val="false"/>
          <w:iCs w:val="false"/>
          <w:caps w:val="false"/>
          <w:color w:val="1A2E4A"/>
          <w:sz w:val="20"/>
          <w:szCs w:val="20"/>
        </w:rPr>
        <w:t xml:space="preserve">"Management Fee"</w:t>
      </w:r>
      <w:r>
        <w:rPr>
          <w:rFonts w:ascii="Arial" w:cs="Arial" w:eastAsia="Arial" w:hAnsi="Arial"/>
          <w:b w:val="false"/>
          <w:bCs w:val="false"/>
          <w:i w:val="false"/>
          <w:iCs w:val="false"/>
          <w:caps w:val="false"/>
          <w:color w:val="3A3A3A"/>
          <w:sz w:val="20"/>
          <w:szCs w:val="20"/>
        </w:rPr>
        <w:t xml:space="preserve"> means the annual fee payable to the Manager equal to [1.0%] of the Joining Member's Commitment during the Investment Hold Period.</w:t>
      </w:r>
    </w:p>
    <w:p>
      <w:pPr>
        <w:spacing w:after="55" w:before="55" w:line="290"/>
        <w:ind w:left="360" w:hanging="0"/>
        <w:jc w:val="left"/>
      </w:pPr>
      <w:r>
        <w:rPr>
          <w:rFonts w:ascii="Arial" w:cs="Arial" w:eastAsia="Arial" w:hAnsi="Arial"/>
          <w:b/>
          <w:bCs/>
          <w:i w:val="false"/>
          <w:iCs w:val="false"/>
          <w:caps w:val="false"/>
          <w:color w:val="1A2E4A"/>
          <w:sz w:val="20"/>
          <w:szCs w:val="20"/>
        </w:rPr>
        <w:t xml:space="preserve">"Master Fund LPA"</w:t>
      </w:r>
      <w:r>
        <w:rPr>
          <w:rFonts w:ascii="Arial" w:cs="Arial" w:eastAsia="Arial" w:hAnsi="Arial"/>
          <w:b w:val="false"/>
          <w:bCs w:val="false"/>
          <w:i w:val="false"/>
          <w:iCs w:val="false"/>
          <w:caps w:val="false"/>
          <w:color w:val="3A3A3A"/>
          <w:sz w:val="20"/>
          <w:szCs w:val="20"/>
        </w:rPr>
        <w:t xml:space="preserve"> means the Limited Partnership Agreement of StudioOS AI Venture Fund I, LP, as amended from time to time.</w:t>
      </w:r>
    </w:p>
    <w:p>
      <w:pPr>
        <w:spacing w:after="55" w:before="55" w:line="290"/>
        <w:ind w:left="360" w:hanging="0"/>
        <w:jc w:val="left"/>
      </w:pPr>
      <w:r>
        <w:rPr>
          <w:rFonts w:ascii="Arial" w:cs="Arial" w:eastAsia="Arial" w:hAnsi="Arial"/>
          <w:b/>
          <w:bCs/>
          <w:i w:val="false"/>
          <w:iCs w:val="false"/>
          <w:caps w:val="false"/>
          <w:color w:val="1A2E4A"/>
          <w:sz w:val="20"/>
          <w:szCs w:val="20"/>
        </w:rPr>
        <w:t xml:space="preserve">"Member"</w:t>
      </w:r>
      <w:r>
        <w:rPr>
          <w:rFonts w:ascii="Arial" w:cs="Arial" w:eastAsia="Arial" w:hAnsi="Arial"/>
          <w:b w:val="false"/>
          <w:bCs w:val="false"/>
          <w:i w:val="false"/>
          <w:iCs w:val="false"/>
          <w:caps w:val="false"/>
          <w:color w:val="3A3A3A"/>
          <w:sz w:val="20"/>
          <w:szCs w:val="20"/>
        </w:rPr>
        <w:t xml:space="preserve"> means any person admitted as a member of the SPV, including the Joining Member.</w:t>
      </w:r>
    </w:p>
    <w:p>
      <w:pPr>
        <w:spacing w:after="55" w:before="55" w:line="290"/>
        <w:ind w:left="360" w:hanging="0"/>
        <w:jc w:val="left"/>
      </w:pPr>
      <w:r>
        <w:rPr>
          <w:rFonts w:ascii="Arial" w:cs="Arial" w:eastAsia="Arial" w:hAnsi="Arial"/>
          <w:b/>
          <w:bCs/>
          <w:i w:val="false"/>
          <w:iCs w:val="false"/>
          <w:caps w:val="false"/>
          <w:color w:val="1A2E4A"/>
          <w:sz w:val="20"/>
          <w:szCs w:val="20"/>
        </w:rPr>
        <w:t xml:space="preserve">"Net Profits"</w:t>
      </w:r>
      <w:r>
        <w:rPr>
          <w:rFonts w:ascii="Arial" w:cs="Arial" w:eastAsia="Arial" w:hAnsi="Arial"/>
          <w:b w:val="false"/>
          <w:bCs w:val="false"/>
          <w:i w:val="false"/>
          <w:iCs w:val="false"/>
          <w:caps w:val="false"/>
          <w:color w:val="3A3A3A"/>
          <w:sz w:val="20"/>
          <w:szCs w:val="20"/>
        </w:rPr>
        <w:t xml:space="preserve"> means the excess of distributions over invested capital at the SPV level, calculated after deduction of all SPV-level fees and expenses.</w:t>
      </w:r>
    </w:p>
    <w:p>
      <w:pPr>
        <w:spacing w:after="55" w:before="55" w:line="290"/>
        <w:ind w:left="360" w:hanging="0"/>
        <w:jc w:val="left"/>
      </w:pPr>
      <w:r>
        <w:rPr>
          <w:rFonts w:ascii="Arial" w:cs="Arial" w:eastAsia="Arial" w:hAnsi="Arial"/>
          <w:b/>
          <w:bCs/>
          <w:i w:val="false"/>
          <w:iCs w:val="false"/>
          <w:caps w:val="false"/>
          <w:color w:val="1A2E4A"/>
          <w:sz w:val="20"/>
          <w:szCs w:val="20"/>
        </w:rPr>
        <w:t xml:space="preserve">"SPV Operating Agreement"</w:t>
      </w:r>
      <w:r>
        <w:rPr>
          <w:rFonts w:ascii="Arial" w:cs="Arial" w:eastAsia="Arial" w:hAnsi="Arial"/>
          <w:b w:val="false"/>
          <w:bCs w:val="false"/>
          <w:i w:val="false"/>
          <w:iCs w:val="false"/>
          <w:caps w:val="false"/>
          <w:color w:val="3A3A3A"/>
          <w:sz w:val="20"/>
          <w:szCs w:val="20"/>
        </w:rPr>
        <w:t xml:space="preserve"> means the Amended and Restated Operating Agreement of the SPV, dated [DATE], as may be amended from time to time, a copy of which is attached hereto as Exhibit A.</w:t>
      </w:r>
    </w:p>
    <w:p>
      <w:pPr>
        <w:spacing w:after="55" w:before="55" w:line="290"/>
        <w:ind w:left="360" w:hanging="0"/>
        <w:jc w:val="left"/>
      </w:pPr>
      <w:r>
        <w:rPr>
          <w:rFonts w:ascii="Arial" w:cs="Arial" w:eastAsia="Arial" w:hAnsi="Arial"/>
          <w:b/>
          <w:bCs/>
          <w:i w:val="false"/>
          <w:iCs w:val="false"/>
          <w:caps w:val="false"/>
          <w:color w:val="1A2E4A"/>
          <w:sz w:val="20"/>
          <w:szCs w:val="20"/>
        </w:rPr>
        <w:t xml:space="preserve">"Target Company"</w:t>
      </w:r>
      <w:r>
        <w:rPr>
          <w:rFonts w:ascii="Arial" w:cs="Arial" w:eastAsia="Arial" w:hAnsi="Arial"/>
          <w:b w:val="false"/>
          <w:bCs w:val="false"/>
          <w:i w:val="false"/>
          <w:iCs w:val="false"/>
          <w:caps w:val="false"/>
          <w:color w:val="3A3A3A"/>
          <w:sz w:val="20"/>
          <w:szCs w:val="20"/>
        </w:rPr>
        <w:t xml:space="preserve"> means [FULL LEGAL NAME OF TARGET PORTFOLIO COMPANY], a [jurisdiction] [entity type].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w:t>
      </w:r>
      <w:r>
        <w:rPr>
          <w:rFonts w:ascii="Arial" w:cs="Arial" w:eastAsia="Arial" w:hAnsi="Arial"/>
          <w:b/>
          <w:bCs/>
          <w:i w:val="false"/>
          <w:iCs w:val="false"/>
          <w:caps w:val="false"/>
          <w:color w:val="1A2E4A"/>
          <w:sz w:val="22"/>
          <w:szCs w:val="22"/>
        </w:rPr>
        <w:t xml:space="preserve">    ADMISSION AND JOINDER</w:t>
      </w:r>
    </w:p>
    <w:p>
      <w:pPr>
        <w:spacing w:after="60" w:before="180" w:line="276"/>
        <w:jc w:val="left"/>
      </w:pPr>
      <w:r>
        <w:rPr>
          <w:rFonts w:ascii="Arial" w:cs="Arial" w:eastAsia="Arial" w:hAnsi="Arial"/>
          <w:b/>
          <w:bCs/>
          <w:i w:val="false"/>
          <w:iCs w:val="false"/>
          <w:caps w:val="false"/>
          <w:color w:val="1A2E4A"/>
          <w:sz w:val="20"/>
          <w:szCs w:val="20"/>
        </w:rPr>
        <w:t xml:space="preserve">2.1  </w:t>
      </w:r>
      <w:r>
        <w:rPr>
          <w:rFonts w:ascii="Arial" w:cs="Arial" w:eastAsia="Arial" w:hAnsi="Arial"/>
          <w:b/>
          <w:bCs/>
          <w:i w:val="false"/>
          <w:iCs w:val="false"/>
          <w:caps w:val="false"/>
          <w:color w:val="5A5A5A"/>
          <w:sz w:val="20"/>
          <w:szCs w:val="20"/>
        </w:rPr>
        <w:t xml:space="preserve">Admission.</w:t>
      </w:r>
    </w:p>
    <w:p>
      <w:pPr>
        <w:spacing w:after="60" w:before="60" w:line="300"/>
        <w:jc w:val="left"/>
      </w:pPr>
      <w:r>
        <w:rPr>
          <w:rFonts w:ascii="Arial" w:cs="Arial" w:eastAsia="Arial" w:hAnsi="Arial"/>
          <w:b w:val="false"/>
          <w:bCs w:val="false"/>
          <w:i w:val="false"/>
          <w:iCs w:val="false"/>
          <w:caps w:val="false"/>
          <w:color w:val="3A3A3A"/>
          <w:sz w:val="20"/>
          <w:szCs w:val="20"/>
        </w:rPr>
        <w:t xml:space="preserve">Subject to the conditions set forth herein, the Manager hereby admits the Joining Member as a member of the SPV with effect from the Effective Date. The Joining Member shall hold a membership interest in the SPV equal to its Pro Rata Share, as set forth in Schedule A.</w:t>
      </w:r>
    </w:p>
    <w:p>
      <w:pPr>
        <w:spacing w:after="60" w:before="180" w:line="276"/>
        <w:jc w:val="left"/>
      </w:pPr>
      <w:r>
        <w:rPr>
          <w:rFonts w:ascii="Arial" w:cs="Arial" w:eastAsia="Arial" w:hAnsi="Arial"/>
          <w:b/>
          <w:bCs/>
          <w:i w:val="false"/>
          <w:iCs w:val="false"/>
          <w:caps w:val="false"/>
          <w:color w:val="1A2E4A"/>
          <w:sz w:val="20"/>
          <w:szCs w:val="20"/>
        </w:rPr>
        <w:t xml:space="preserve">2.2  </w:t>
      </w:r>
      <w:r>
        <w:rPr>
          <w:rFonts w:ascii="Arial" w:cs="Arial" w:eastAsia="Arial" w:hAnsi="Arial"/>
          <w:b/>
          <w:bCs/>
          <w:i w:val="false"/>
          <w:iCs w:val="false"/>
          <w:caps w:val="false"/>
          <w:color w:val="5A5A5A"/>
          <w:sz w:val="20"/>
          <w:szCs w:val="20"/>
        </w:rPr>
        <w:t xml:space="preserve">Joinder to SPV Operating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By executing this Joinder, the Joining Member agrees to be bound by all terms and conditions of the SPV Operating Agreement as if the Joining Member were an original signatory thereto. The Joining Member acknowledges that it has received and reviewed a complete copy of the SPV Operating Agreement.</w:t>
      </w:r>
    </w:p>
    <w:p>
      <w:pPr>
        <w:spacing w:after="60" w:before="180" w:line="276"/>
        <w:jc w:val="left"/>
      </w:pPr>
      <w:r>
        <w:rPr>
          <w:rFonts w:ascii="Arial" w:cs="Arial" w:eastAsia="Arial" w:hAnsi="Arial"/>
          <w:b/>
          <w:bCs/>
          <w:i w:val="false"/>
          <w:iCs w:val="false"/>
          <w:caps w:val="false"/>
          <w:color w:val="1A2E4A"/>
          <w:sz w:val="20"/>
          <w:szCs w:val="20"/>
        </w:rPr>
        <w:t xml:space="preserve">2.3  </w:t>
      </w:r>
      <w:r>
        <w:rPr>
          <w:rFonts w:ascii="Arial" w:cs="Arial" w:eastAsia="Arial" w:hAnsi="Arial"/>
          <w:b/>
          <w:bCs/>
          <w:i w:val="false"/>
          <w:iCs w:val="false"/>
          <w:caps w:val="false"/>
          <w:color w:val="5A5A5A"/>
          <w:sz w:val="20"/>
          <w:szCs w:val="20"/>
        </w:rPr>
        <w:t xml:space="preserve">Joinder to Master Fund Terms.</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acknowledges that: (a) the SPV is co-investing alongside StudioOS AI Venture Fund I, LP; (b) the terms of this Joinder are subject to and consistent with the Master Fund LPA; and (c) in the event of any conflict between this Joinder and the SPV Operating Agreement, the SPV Operating Agreement shall govern.</w:t>
      </w:r>
    </w:p>
    <w:p>
      <w:pPr>
        <w:spacing w:after="60" w:before="180" w:line="276"/>
        <w:jc w:val="left"/>
      </w:pPr>
      <w:r>
        <w:rPr>
          <w:rFonts w:ascii="Arial" w:cs="Arial" w:eastAsia="Arial" w:hAnsi="Arial"/>
          <w:b/>
          <w:bCs/>
          <w:i w:val="false"/>
          <w:iCs w:val="false"/>
          <w:caps w:val="false"/>
          <w:color w:val="1A2E4A"/>
          <w:sz w:val="20"/>
          <w:szCs w:val="20"/>
        </w:rPr>
        <w:t xml:space="preserve">2.4  </w:t>
      </w:r>
      <w:r>
        <w:rPr>
          <w:rFonts w:ascii="Arial" w:cs="Arial" w:eastAsia="Arial" w:hAnsi="Arial"/>
          <w:b/>
          <w:bCs/>
          <w:i w:val="false"/>
          <w:iCs w:val="false"/>
          <w:caps w:val="false"/>
          <w:color w:val="5A5A5A"/>
          <w:sz w:val="20"/>
          <w:szCs w:val="20"/>
        </w:rPr>
        <w:t xml:space="preserve">Investor Representations.</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represents and warrants, as of the date hereof and as of each Drawdown date, that: (a) it is an "accredited investor" as defined in Rule 501(a) under the Securities Act of 1933; (b) it is acquiring the membership interest for investment purposes only and not with a view to distribution; (c) it has the full legal power and authority to enter into this Joinder; (d) this Joinder has been duly authorized and constitutes a valid and binding obligation; (e) the funds contributed are derived from lawful sources; (f) it is not subject to any economic sanctions; and (g) it is not a "benefit plan investor" within the meaning of ERISA, or if it is, it has disclosed this fact to the Manager in writing and provided relevant ERISA documentation.</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III</w:t>
      </w:r>
      <w:r>
        <w:rPr>
          <w:rFonts w:ascii="Arial" w:cs="Arial" w:eastAsia="Arial" w:hAnsi="Arial"/>
          <w:b/>
          <w:bCs/>
          <w:i w:val="false"/>
          <w:iCs w:val="false"/>
          <w:caps w:val="false"/>
          <w:color w:val="1A2E4A"/>
          <w:sz w:val="22"/>
          <w:szCs w:val="22"/>
        </w:rPr>
        <w:t xml:space="preserve">    THE INVESTMENT</w:t>
      </w:r>
    </w:p>
    <w:p>
      <w:pPr>
        <w:spacing w:after="60" w:before="180" w:line="276"/>
        <w:jc w:val="left"/>
      </w:pPr>
      <w:r>
        <w:rPr>
          <w:rFonts w:ascii="Arial" w:cs="Arial" w:eastAsia="Arial" w:hAnsi="Arial"/>
          <w:b/>
          <w:bCs/>
          <w:i w:val="false"/>
          <w:iCs w:val="false"/>
          <w:caps w:val="false"/>
          <w:color w:val="1A2E4A"/>
          <w:sz w:val="20"/>
          <w:szCs w:val="20"/>
        </w:rPr>
        <w:t xml:space="preserve">3.1  </w:t>
      </w:r>
      <w:r>
        <w:rPr>
          <w:rFonts w:ascii="Arial" w:cs="Arial" w:eastAsia="Arial" w:hAnsi="Arial"/>
          <w:b/>
          <w:bCs/>
          <w:i w:val="false"/>
          <w:iCs w:val="false"/>
          <w:caps w:val="false"/>
          <w:color w:val="5A5A5A"/>
          <w:sz w:val="20"/>
          <w:szCs w:val="20"/>
        </w:rPr>
        <w:t xml:space="preserve">Investment Description.</w:t>
      </w:r>
    </w:p>
    <w:p>
      <w:pPr>
        <w:spacing w:after="60" w:before="60" w:line="300"/>
        <w:jc w:val="left"/>
      </w:pPr>
      <w:r>
        <w:rPr>
          <w:rFonts w:ascii="Arial" w:cs="Arial" w:eastAsia="Arial" w:hAnsi="Arial"/>
          <w:b w:val="false"/>
          <w:bCs w:val="false"/>
          <w:i w:val="false"/>
          <w:iCs w:val="false"/>
          <w:caps w:val="false"/>
          <w:color w:val="3A3A3A"/>
          <w:sz w:val="20"/>
          <w:szCs w:val="20"/>
        </w:rPr>
        <w:t xml:space="preserve">The SPV has been formed for the exclusive purpose of making the Investment described in Schedule B. The Manager has undertaken due diligence on the Target Company and has provided or made available to the Joining Member all material information relating to the Investment. The Joining Member acknowledges that it has independently evaluated the Investment and has not relied on the Manager for investment advice.</w:t>
      </w:r>
    </w:p>
    <w:p>
      <w:pPr>
        <w:spacing w:after="60" w:before="180" w:line="276"/>
        <w:jc w:val="left"/>
      </w:pPr>
      <w:r>
        <w:rPr>
          <w:rFonts w:ascii="Arial" w:cs="Arial" w:eastAsia="Arial" w:hAnsi="Arial"/>
          <w:b/>
          <w:bCs/>
          <w:i w:val="false"/>
          <w:iCs w:val="false"/>
          <w:caps w:val="false"/>
          <w:color w:val="1A2E4A"/>
          <w:sz w:val="20"/>
          <w:szCs w:val="20"/>
        </w:rPr>
        <w:t xml:space="preserve">3.2  </w:t>
      </w:r>
      <w:r>
        <w:rPr>
          <w:rFonts w:ascii="Arial" w:cs="Arial" w:eastAsia="Arial" w:hAnsi="Arial"/>
          <w:b/>
          <w:bCs/>
          <w:i w:val="false"/>
          <w:iCs w:val="false"/>
          <w:caps w:val="false"/>
          <w:color w:val="5A5A5A"/>
          <w:sz w:val="20"/>
          <w:szCs w:val="20"/>
        </w:rPr>
        <w:t xml:space="preserve">Investment Allocation.</w:t>
      </w:r>
    </w:p>
    <w:p>
      <w:pPr>
        <w:spacing w:after="60" w:before="60" w:line="300"/>
        <w:jc w:val="left"/>
      </w:pPr>
      <w:r>
        <w:rPr>
          <w:rFonts w:ascii="Arial" w:cs="Arial" w:eastAsia="Arial" w:hAnsi="Arial"/>
          <w:b w:val="false"/>
          <w:bCs w:val="false"/>
          <w:i w:val="false"/>
          <w:iCs w:val="false"/>
          <w:caps w:val="false"/>
          <w:color w:val="3A3A3A"/>
          <w:sz w:val="20"/>
          <w:szCs w:val="20"/>
        </w:rPr>
        <w:t xml:space="preserve">(a) The SPV's total investment in the Target Company shall not exceed [USD ___] (the "Investment Cap") without the consent of Members holding a majority of SPV interests ("Member Majority").
(b) The Joining Member's participation in the Investment shall be equal to its Pro Rata Share of the SPV's total investment, subject to any re-allocation by the Manager following the exercise of any opt-out rights.
(c) The Manager may reserve up to [20%] of the Investment Cap for Follow-On Investments in the Target Company during the holding period.</w:t>
      </w:r>
    </w:p>
    <w:p>
      <w:pPr>
        <w:spacing w:after="60" w:before="180" w:line="276"/>
        <w:jc w:val="left"/>
      </w:pPr>
      <w:r>
        <w:rPr>
          <w:rFonts w:ascii="Arial" w:cs="Arial" w:eastAsia="Arial" w:hAnsi="Arial"/>
          <w:b/>
          <w:bCs/>
          <w:i w:val="false"/>
          <w:iCs w:val="false"/>
          <w:caps w:val="false"/>
          <w:color w:val="1A2E4A"/>
          <w:sz w:val="20"/>
          <w:szCs w:val="20"/>
        </w:rPr>
        <w:t xml:space="preserve">3.3  </w:t>
      </w:r>
      <w:r>
        <w:rPr>
          <w:rFonts w:ascii="Arial" w:cs="Arial" w:eastAsia="Arial" w:hAnsi="Arial"/>
          <w:b/>
          <w:bCs/>
          <w:i w:val="false"/>
          <w:iCs w:val="false"/>
          <w:caps w:val="false"/>
          <w:color w:val="5A5A5A"/>
          <w:sz w:val="20"/>
          <w:szCs w:val="20"/>
        </w:rPr>
        <w:t xml:space="preserve">Opt-Out Right.</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may opt out of the Investment within five (5) Business Days of receipt of this Joinder if: (a) the Investment would cause the Joining Member to violate applicable law; (b) the Investment would cause a "prohibited transaction" under ERISA; or (c) the Joining Member has a pre-existing conflict of interest with the Target Company that has been disclosed in writing. To exercise an opt-out, the Joining Member must provide written notice to the Manager.</w:t>
      </w:r>
    </w:p>
    <w:p>
      <w:pPr>
        <w:spacing w:after="60" w:before="180" w:line="276"/>
        <w:jc w:val="left"/>
      </w:pPr>
      <w:r>
        <w:rPr>
          <w:rFonts w:ascii="Arial" w:cs="Arial" w:eastAsia="Arial" w:hAnsi="Arial"/>
          <w:b/>
          <w:bCs/>
          <w:i w:val="false"/>
          <w:iCs w:val="false"/>
          <w:caps w:val="false"/>
          <w:color w:val="1A2E4A"/>
          <w:sz w:val="20"/>
          <w:szCs w:val="20"/>
        </w:rPr>
        <w:t xml:space="preserve">3.4  </w:t>
      </w:r>
      <w:r>
        <w:rPr>
          <w:rFonts w:ascii="Arial" w:cs="Arial" w:eastAsia="Arial" w:hAnsi="Arial"/>
          <w:b/>
          <w:bCs/>
          <w:i w:val="false"/>
          <w:iCs w:val="false"/>
          <w:caps w:val="false"/>
          <w:color w:val="5A5A5A"/>
          <w:sz w:val="20"/>
          <w:szCs w:val="20"/>
        </w:rPr>
        <w:t xml:space="preserve">Co-Investment Relationship with Master Fund.</w:t>
      </w:r>
    </w:p>
    <w:p>
      <w:pPr>
        <w:spacing w:after="60" w:before="60" w:line="300"/>
        <w:jc w:val="left"/>
      </w:pPr>
      <w:r>
        <w:rPr>
          <w:rFonts w:ascii="Arial" w:cs="Arial" w:eastAsia="Arial" w:hAnsi="Arial"/>
          <w:b w:val="false"/>
          <w:bCs w:val="false"/>
          <w:i w:val="false"/>
          <w:iCs w:val="false"/>
          <w:caps w:val="false"/>
          <w:color w:val="3A3A3A"/>
          <w:sz w:val="20"/>
          <w:szCs w:val="20"/>
        </w:rPr>
        <w:t xml:space="preserve">The SPV shall co-invest alongside StudioOS AI Venture Fund I, LP. The allocation between the Master Fund and the SPV shall be determined by the Manager in good faith, based on (a) available capital commitments; (b) investor suitability requirements; and (c) the Manager's conflicts of interest policy. The Master Fund shall receive priority in deal allocation absent unusual circumstances.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IV</w:t>
      </w:r>
      <w:r>
        <w:rPr>
          <w:rFonts w:ascii="Arial" w:cs="Arial" w:eastAsia="Arial" w:hAnsi="Arial"/>
          <w:b/>
          <w:bCs/>
          <w:i w:val="false"/>
          <w:iCs w:val="false"/>
          <w:caps w:val="false"/>
          <w:color w:val="1A2E4A"/>
          <w:sz w:val="22"/>
          <w:szCs w:val="22"/>
        </w:rPr>
        <w:t xml:space="preserve">    CAPITAL CONTRIBUTIONS AND DRAWDOWNS</w:t>
      </w:r>
    </w:p>
    <w:p>
      <w:pPr>
        <w:spacing w:after="60" w:before="180" w:line="276"/>
        <w:jc w:val="left"/>
      </w:pPr>
      <w:r>
        <w:rPr>
          <w:rFonts w:ascii="Arial" w:cs="Arial" w:eastAsia="Arial" w:hAnsi="Arial"/>
          <w:b/>
          <w:bCs/>
          <w:i w:val="false"/>
          <w:iCs w:val="false"/>
          <w:caps w:val="false"/>
          <w:color w:val="1A2E4A"/>
          <w:sz w:val="20"/>
          <w:szCs w:val="20"/>
        </w:rPr>
        <w:t xml:space="preserve">4.1  </w:t>
      </w:r>
      <w:r>
        <w:rPr>
          <w:rFonts w:ascii="Arial" w:cs="Arial" w:eastAsia="Arial" w:hAnsi="Arial"/>
          <w:b/>
          <w:bCs/>
          <w:i w:val="false"/>
          <w:iCs w:val="false"/>
          <w:caps w:val="false"/>
          <w:color w:val="5A5A5A"/>
          <w:sz w:val="20"/>
          <w:szCs w:val="20"/>
        </w:rPr>
        <w:t xml:space="preserve">Commitment.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hereby commits to contribute to the SPV up to the Commitment amount set forth in Schedule A. The Commitment shall be funded by way of Drawdowns made by the Manager from time to time.</w:t>
      </w:r>
    </w:p>
    <w:p>
      <w:pPr>
        <w:spacing w:after="60" w:before="180" w:line="276"/>
        <w:jc w:val="left"/>
      </w:pPr>
      <w:r>
        <w:rPr>
          <w:rFonts w:ascii="Arial" w:cs="Arial" w:eastAsia="Arial" w:hAnsi="Arial"/>
          <w:b/>
          <w:bCs/>
          <w:i w:val="false"/>
          <w:iCs w:val="false"/>
          <w:caps w:val="false"/>
          <w:color w:val="1A2E4A"/>
          <w:sz w:val="20"/>
          <w:szCs w:val="20"/>
        </w:rPr>
        <w:t xml:space="preserve">4.2  </w:t>
      </w:r>
      <w:r>
        <w:rPr>
          <w:rFonts w:ascii="Arial" w:cs="Arial" w:eastAsia="Arial" w:hAnsi="Arial"/>
          <w:b/>
          <w:bCs/>
          <w:i w:val="false"/>
          <w:iCs w:val="false"/>
          <w:caps w:val="false"/>
          <w:color w:val="5A5A5A"/>
          <w:sz w:val="20"/>
          <w:szCs w:val="20"/>
        </w:rPr>
        <w:t xml:space="preserve">Drawdown Mechanics.</w:t>
      </w:r>
    </w:p>
    <w:p>
      <w:pPr>
        <w:spacing w:after="60" w:before="60" w:line="300"/>
        <w:jc w:val="left"/>
      </w:pPr>
      <w:r>
        <w:rPr>
          <w:rFonts w:ascii="Arial" w:cs="Arial" w:eastAsia="Arial" w:hAnsi="Arial"/>
          <w:b w:val="false"/>
          <w:bCs w:val="false"/>
          <w:i w:val="false"/>
          <w:iCs w:val="false"/>
          <w:caps w:val="false"/>
          <w:color w:val="3A3A3A"/>
          <w:sz w:val="20"/>
          <w:szCs w:val="20"/>
        </w:rPr>
        <w:t xml:space="preserve">(a) The Manager shall issue Drawdown notices to the Joining Member at least seven (7) Business Days prior to the required funding date. Each Drawdown notice shall specify the amount called, the purpose, and the wire instructions.
(b) The Joining Member shall fund each Drawdown on or before the date specified in the Drawdown notice.
(c) Failure to fund a Drawdown within three (3) Business Days after the due date shall result in the Joining Member becoming a "Defaulting Member" subject to the remedies set forth in the SPV Operating Agreement, including dilution of the Defaulting Member's interest at a ratio of [0.50:1].</w:t>
      </w:r>
    </w:p>
    <w:p>
      <w:pPr>
        <w:spacing w:after="60" w:before="180" w:line="276"/>
        <w:jc w:val="left"/>
      </w:pPr>
      <w:r>
        <w:rPr>
          <w:rFonts w:ascii="Arial" w:cs="Arial" w:eastAsia="Arial" w:hAnsi="Arial"/>
          <w:b/>
          <w:bCs/>
          <w:i w:val="false"/>
          <w:iCs w:val="false"/>
          <w:caps w:val="false"/>
          <w:color w:val="1A2E4A"/>
          <w:sz w:val="20"/>
          <w:szCs w:val="20"/>
        </w:rPr>
        <w:t xml:space="preserve">4.3  </w:t>
      </w:r>
      <w:r>
        <w:rPr>
          <w:rFonts w:ascii="Arial" w:cs="Arial" w:eastAsia="Arial" w:hAnsi="Arial"/>
          <w:b/>
          <w:bCs/>
          <w:i w:val="false"/>
          <w:iCs w:val="false"/>
          <w:caps w:val="false"/>
          <w:color w:val="5A5A5A"/>
          <w:sz w:val="20"/>
          <w:szCs w:val="20"/>
        </w:rPr>
        <w:t xml:space="preserve">No Additional Obligations.</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shall not be required to make capital contributions in excess of its Commitment. No third party shall have any right to require the Joining Member to make additional contributions beyond the Commitment.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w:t>
      </w:r>
      <w:r>
        <w:rPr>
          <w:rFonts w:ascii="Arial" w:cs="Arial" w:eastAsia="Arial" w:hAnsi="Arial"/>
          <w:b/>
          <w:bCs/>
          <w:i w:val="false"/>
          <w:iCs w:val="false"/>
          <w:caps w:val="false"/>
          <w:color w:val="1A2E4A"/>
          <w:sz w:val="22"/>
          <w:szCs w:val="22"/>
        </w:rPr>
        <w:t xml:space="preserve">    ECONOMICS AND DISTRIBUTIONS</w:t>
      </w:r>
    </w:p>
    <w:p>
      <w:pPr>
        <w:spacing w:after="60" w:before="180" w:line="276"/>
        <w:jc w:val="left"/>
      </w:pPr>
      <w:r>
        <w:rPr>
          <w:rFonts w:ascii="Arial" w:cs="Arial" w:eastAsia="Arial" w:hAnsi="Arial"/>
          <w:b/>
          <w:bCs/>
          <w:i w:val="false"/>
          <w:iCs w:val="false"/>
          <w:caps w:val="false"/>
          <w:color w:val="1A2E4A"/>
          <w:sz w:val="20"/>
          <w:szCs w:val="20"/>
        </w:rPr>
        <w:t xml:space="preserve">5.1  </w:t>
      </w:r>
      <w:r>
        <w:rPr>
          <w:rFonts w:ascii="Arial" w:cs="Arial" w:eastAsia="Arial" w:hAnsi="Arial"/>
          <w:b/>
          <w:bCs/>
          <w:i w:val="false"/>
          <w:iCs w:val="false"/>
          <w:caps w:val="false"/>
          <w:color w:val="5A5A5A"/>
          <w:sz w:val="20"/>
          <w:szCs w:val="20"/>
        </w:rPr>
        <w:t xml:space="preserve">Management Fee.</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shall pay to the Manager a Management Fee equal to [1.0%] per annum of the Joining Member's Commitment, payable [quarterly / annually] in advance. The Management Fee shall be subject to a [50%] offset for any transaction, monitoring, or board fees received by the Manager or its affiliates from the Target Company.</w:t>
      </w:r>
    </w:p>
    <w:p>
      <w:pPr>
        <w:spacing w:after="60" w:before="180" w:line="276"/>
        <w:jc w:val="left"/>
      </w:pPr>
      <w:r>
        <w:rPr>
          <w:rFonts w:ascii="Arial" w:cs="Arial" w:eastAsia="Arial" w:hAnsi="Arial"/>
          <w:b/>
          <w:bCs/>
          <w:i w:val="false"/>
          <w:iCs w:val="false"/>
          <w:caps w:val="false"/>
          <w:color w:val="1A2E4A"/>
          <w:sz w:val="20"/>
          <w:szCs w:val="20"/>
        </w:rPr>
        <w:t xml:space="preserve">5.2  </w:t>
      </w:r>
      <w:r>
        <w:rPr>
          <w:rFonts w:ascii="Arial" w:cs="Arial" w:eastAsia="Arial" w:hAnsi="Arial"/>
          <w:b/>
          <w:bCs/>
          <w:i w:val="false"/>
          <w:iCs w:val="false"/>
          <w:caps w:val="false"/>
          <w:color w:val="5A5A5A"/>
          <w:sz w:val="20"/>
          <w:szCs w:val="20"/>
        </w:rPr>
        <w:t xml:space="preserve">Carried Interest.</w:t>
      </w:r>
    </w:p>
    <w:p>
      <w:pPr>
        <w:spacing w:after="60" w:before="60" w:line="300"/>
        <w:jc w:val="left"/>
      </w:pPr>
      <w:r>
        <w:rPr>
          <w:rFonts w:ascii="Arial" w:cs="Arial" w:eastAsia="Arial" w:hAnsi="Arial"/>
          <w:b w:val="false"/>
          <w:bCs w:val="false"/>
          <w:i w:val="false"/>
          <w:iCs w:val="false"/>
          <w:caps w:val="false"/>
          <w:color w:val="3A3A3A"/>
          <w:sz w:val="20"/>
          <w:szCs w:val="20"/>
        </w:rPr>
        <w:t xml:space="preserve">The Manager shall be entitled to Carried Interest equal to twenty percent (20%) of Net Profits of the SPV above the Hurdle Rate of [8%] per annum on invested capital, calculated on a deal-by-deal basis at the SPV level. The Manager may elect to receive Carried Interest through a designated carry vehicle.</w:t>
      </w:r>
    </w:p>
    <w:p>
      <w:pPr>
        <w:spacing w:after="60" w:before="180" w:line="276"/>
        <w:jc w:val="left"/>
      </w:pPr>
      <w:r>
        <w:rPr>
          <w:rFonts w:ascii="Arial" w:cs="Arial" w:eastAsia="Arial" w:hAnsi="Arial"/>
          <w:b/>
          <w:bCs/>
          <w:i w:val="false"/>
          <w:iCs w:val="false"/>
          <w:caps w:val="false"/>
          <w:color w:val="1A2E4A"/>
          <w:sz w:val="20"/>
          <w:szCs w:val="20"/>
        </w:rPr>
        <w:t xml:space="preserve">5.3  </w:t>
      </w:r>
      <w:r>
        <w:rPr>
          <w:rFonts w:ascii="Arial" w:cs="Arial" w:eastAsia="Arial" w:hAnsi="Arial"/>
          <w:b/>
          <w:bCs/>
          <w:i w:val="false"/>
          <w:iCs w:val="false"/>
          <w:caps w:val="false"/>
          <w:color w:val="5A5A5A"/>
          <w:sz w:val="20"/>
          <w:szCs w:val="20"/>
        </w:rPr>
        <w:t xml:space="preserve">Distribution Waterfall.</w:t>
      </w:r>
    </w:p>
    <w:p>
      <w:pPr>
        <w:spacing w:after="60" w:before="60" w:line="300"/>
        <w:jc w:val="left"/>
      </w:pPr>
      <w:r>
        <w:rPr>
          <w:rFonts w:ascii="Arial" w:cs="Arial" w:eastAsia="Arial" w:hAnsi="Arial"/>
          <w:b w:val="false"/>
          <w:bCs w:val="false"/>
          <w:i w:val="false"/>
          <w:iCs w:val="false"/>
          <w:caps w:val="false"/>
          <w:color w:val="3A3A3A"/>
          <w:sz w:val="20"/>
          <w:szCs w:val="20"/>
        </w:rPr>
        <w:t xml:space="preserve">Distributions from the SPV shall be made in the following order: (a) first, return of each Member's invested capital, pro rata; (b) second, return of the Hurdle Return to each Member, pro rata; (c) third, one hundred percent (100%) to the Manager until the Manager has received its full Carried Interest percentage ("GP Catch-Up"); and (d) thereafter, [80%] to Members pro rata and [20%] to the Manager as Carried Interest.</w:t>
      </w:r>
    </w:p>
    <w:p>
      <w:pPr>
        <w:spacing w:after="60" w:before="180" w:line="276"/>
        <w:jc w:val="left"/>
      </w:pPr>
      <w:r>
        <w:rPr>
          <w:rFonts w:ascii="Arial" w:cs="Arial" w:eastAsia="Arial" w:hAnsi="Arial"/>
          <w:b/>
          <w:bCs/>
          <w:i w:val="false"/>
          <w:iCs w:val="false"/>
          <w:caps w:val="false"/>
          <w:color w:val="1A2E4A"/>
          <w:sz w:val="20"/>
          <w:szCs w:val="20"/>
        </w:rPr>
        <w:t xml:space="preserve">5.4  </w:t>
      </w:r>
      <w:r>
        <w:rPr>
          <w:rFonts w:ascii="Arial" w:cs="Arial" w:eastAsia="Arial" w:hAnsi="Arial"/>
          <w:b/>
          <w:bCs/>
          <w:i w:val="false"/>
          <w:iCs w:val="false"/>
          <w:caps w:val="false"/>
          <w:color w:val="5A5A5A"/>
          <w:sz w:val="20"/>
          <w:szCs w:val="20"/>
        </w:rPr>
        <w:t xml:space="preserve">SPV Expenses.</w:t>
      </w:r>
    </w:p>
    <w:p>
      <w:pPr>
        <w:spacing w:after="60" w:before="60" w:line="300"/>
        <w:jc w:val="left"/>
      </w:pPr>
      <w:r>
        <w:rPr>
          <w:rFonts w:ascii="Arial" w:cs="Arial" w:eastAsia="Arial" w:hAnsi="Arial"/>
          <w:b w:val="false"/>
          <w:bCs w:val="false"/>
          <w:i w:val="false"/>
          <w:iCs w:val="false"/>
          <w:caps w:val="false"/>
          <w:color w:val="3A3A3A"/>
          <w:sz w:val="20"/>
          <w:szCs w:val="20"/>
        </w:rPr>
        <w:t xml:space="preserve">The SPV shall bear all formation, legal, accounting, custodial, filing, and Investment-related costs and expenses. Organizational expenses shall be amortized over five (5) years for tax purposes.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w:t>
      </w:r>
      <w:r>
        <w:rPr>
          <w:rFonts w:ascii="Arial" w:cs="Arial" w:eastAsia="Arial" w:hAnsi="Arial"/>
          <w:b/>
          <w:bCs/>
          <w:i w:val="false"/>
          <w:iCs w:val="false"/>
          <w:caps w:val="false"/>
          <w:color w:val="1A2E4A"/>
          <w:sz w:val="22"/>
          <w:szCs w:val="22"/>
        </w:rPr>
        <w:t xml:space="preserve">    REPORTING AND GOVERNANCE</w:t>
      </w:r>
    </w:p>
    <w:p>
      <w:pPr>
        <w:spacing w:after="60" w:before="180" w:line="276"/>
        <w:jc w:val="left"/>
      </w:pPr>
      <w:r>
        <w:rPr>
          <w:rFonts w:ascii="Arial" w:cs="Arial" w:eastAsia="Arial" w:hAnsi="Arial"/>
          <w:b/>
          <w:bCs/>
          <w:i w:val="false"/>
          <w:iCs w:val="false"/>
          <w:caps w:val="false"/>
          <w:color w:val="1A2E4A"/>
          <w:sz w:val="20"/>
          <w:szCs w:val="20"/>
        </w:rPr>
        <w:t xml:space="preserve">6.1  </w:t>
      </w:r>
      <w:r>
        <w:rPr>
          <w:rFonts w:ascii="Arial" w:cs="Arial" w:eastAsia="Arial" w:hAnsi="Arial"/>
          <w:b/>
          <w:bCs/>
          <w:i w:val="false"/>
          <w:iCs w:val="false"/>
          <w:caps w:val="false"/>
          <w:color w:val="5A5A5A"/>
          <w:sz w:val="20"/>
          <w:szCs w:val="20"/>
        </w:rPr>
        <w:t xml:space="preserve">Reports.</w:t>
      </w:r>
    </w:p>
    <w:p>
      <w:pPr>
        <w:spacing w:after="60" w:before="60" w:line="300"/>
        <w:jc w:val="left"/>
      </w:pPr>
      <w:r>
        <w:rPr>
          <w:rFonts w:ascii="Arial" w:cs="Arial" w:eastAsia="Arial" w:hAnsi="Arial"/>
          <w:b w:val="false"/>
          <w:bCs w:val="false"/>
          <w:i w:val="false"/>
          <w:iCs w:val="false"/>
          <w:caps w:val="false"/>
          <w:color w:val="3A3A3A"/>
          <w:sz w:val="20"/>
          <w:szCs w:val="20"/>
        </w:rPr>
        <w:t xml:space="preserve">The Manager shall provide the Joining Member with: (a) quarterly unaudited financial statements within forty-five (45) days of each quarter-end; (b) annual audited financial statements within ninety (90) days of each fiscal year-end; (c) annual Schedule K-1 (or equivalent) within ninety (90) days of each fiscal year-end; and (d) material event notices within ten (10) Business Days of any material development relating to the Target Company.</w:t>
      </w:r>
    </w:p>
    <w:p>
      <w:pPr>
        <w:spacing w:after="60" w:before="180" w:line="276"/>
        <w:jc w:val="left"/>
      </w:pPr>
      <w:r>
        <w:rPr>
          <w:rFonts w:ascii="Arial" w:cs="Arial" w:eastAsia="Arial" w:hAnsi="Arial"/>
          <w:b/>
          <w:bCs/>
          <w:i w:val="false"/>
          <w:iCs w:val="false"/>
          <w:caps w:val="false"/>
          <w:color w:val="1A2E4A"/>
          <w:sz w:val="20"/>
          <w:szCs w:val="20"/>
        </w:rPr>
        <w:t xml:space="preserve">6.2  </w:t>
      </w:r>
      <w:r>
        <w:rPr>
          <w:rFonts w:ascii="Arial" w:cs="Arial" w:eastAsia="Arial" w:hAnsi="Arial"/>
          <w:b/>
          <w:bCs/>
          <w:i w:val="false"/>
          <w:iCs w:val="false"/>
          <w:caps w:val="false"/>
          <w:color w:val="5A5A5A"/>
          <w:sz w:val="20"/>
          <w:szCs w:val="20"/>
        </w:rPr>
        <w:t xml:space="preserve">Governance.</w:t>
      </w:r>
    </w:p>
    <w:p>
      <w:pPr>
        <w:spacing w:after="60" w:before="60" w:line="300"/>
        <w:jc w:val="left"/>
      </w:pPr>
      <w:r>
        <w:rPr>
          <w:rFonts w:ascii="Arial" w:cs="Arial" w:eastAsia="Arial" w:hAnsi="Arial"/>
          <w:b w:val="false"/>
          <w:bCs w:val="false"/>
          <w:i w:val="false"/>
          <w:iCs w:val="false"/>
          <w:caps w:val="false"/>
          <w:color w:val="3A3A3A"/>
          <w:sz w:val="20"/>
          <w:szCs w:val="20"/>
        </w:rPr>
        <w:t xml:space="preserve">The Manager shall have full authority to manage the SPV's affairs. Members shall have limited consent rights, limited to: (a) amendments to economic terms; (b) removal of the Manager for cause; and (c) extension of the hold period beyond [seven (7)] years from the date of the Investment. Members shall not have any right to vote on individual investment decisions or on the terms of any exit.</w:t>
      </w:r>
    </w:p>
    <w:p>
      <w:pPr>
        <w:spacing w:after="60" w:before="180" w:line="276"/>
        <w:jc w:val="left"/>
      </w:pPr>
      <w:r>
        <w:rPr>
          <w:rFonts w:ascii="Arial" w:cs="Arial" w:eastAsia="Arial" w:hAnsi="Arial"/>
          <w:b/>
          <w:bCs/>
          <w:i w:val="false"/>
          <w:iCs w:val="false"/>
          <w:caps w:val="false"/>
          <w:color w:val="1A2E4A"/>
          <w:sz w:val="20"/>
          <w:szCs w:val="20"/>
        </w:rPr>
        <w:t xml:space="preserve">6.3  </w:t>
      </w:r>
      <w:r>
        <w:rPr>
          <w:rFonts w:ascii="Arial" w:cs="Arial" w:eastAsia="Arial" w:hAnsi="Arial"/>
          <w:b/>
          <w:bCs/>
          <w:i w:val="false"/>
          <w:iCs w:val="false"/>
          <w:caps w:val="false"/>
          <w:color w:val="5A5A5A"/>
          <w:sz w:val="20"/>
          <w:szCs w:val="20"/>
        </w:rPr>
        <w:t xml:space="preserve">Advisory Rights.</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may, subject to the Manager's consent and applicable confidentiality obligations, participate in the SPV's advisory committee, if established, and shall receive copies of all materials provided to such committee.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w:t>
      </w:r>
      <w:r>
        <w:rPr>
          <w:rFonts w:ascii="Arial" w:cs="Arial" w:eastAsia="Arial" w:hAnsi="Arial"/>
          <w:b/>
          <w:bCs/>
          <w:i w:val="false"/>
          <w:iCs w:val="false"/>
          <w:caps w:val="false"/>
          <w:color w:val="1A2E4A"/>
          <w:sz w:val="22"/>
          <w:szCs w:val="22"/>
        </w:rPr>
        <w:t xml:space="preserve">    TRANSFERS</w:t>
      </w:r>
    </w:p>
    <w:p>
      <w:pPr>
        <w:spacing w:after="60" w:before="180" w:line="276"/>
        <w:jc w:val="left"/>
      </w:pPr>
      <w:r>
        <w:rPr>
          <w:rFonts w:ascii="Arial" w:cs="Arial" w:eastAsia="Arial" w:hAnsi="Arial"/>
          <w:b/>
          <w:bCs/>
          <w:i w:val="false"/>
          <w:iCs w:val="false"/>
          <w:caps w:val="false"/>
          <w:color w:val="1A2E4A"/>
          <w:sz w:val="20"/>
          <w:szCs w:val="20"/>
        </w:rPr>
        <w:t xml:space="preserve">7.1  </w:t>
      </w:r>
      <w:r>
        <w:rPr>
          <w:rFonts w:ascii="Arial" w:cs="Arial" w:eastAsia="Arial" w:hAnsi="Arial"/>
          <w:b/>
          <w:bCs/>
          <w:i w:val="false"/>
          <w:iCs w:val="false"/>
          <w:caps w:val="false"/>
          <w:color w:val="5A5A5A"/>
          <w:sz w:val="20"/>
          <w:szCs w:val="20"/>
        </w:rPr>
        <w:t xml:space="preserve">Transfer Restrictions.</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may not transfer, assign, or otherwise dispose of all or any part of its SPV membership interest without the prior written consent of the Manager, which may be withheld in its sole discretion. Any purported transfer in violation of this Section shall be null and void.</w:t>
      </w:r>
    </w:p>
    <w:p>
      <w:pPr>
        <w:spacing w:after="60" w:before="180" w:line="276"/>
        <w:jc w:val="left"/>
      </w:pPr>
      <w:r>
        <w:rPr>
          <w:rFonts w:ascii="Arial" w:cs="Arial" w:eastAsia="Arial" w:hAnsi="Arial"/>
          <w:b/>
          <w:bCs/>
          <w:i w:val="false"/>
          <w:iCs w:val="false"/>
          <w:caps w:val="false"/>
          <w:color w:val="1A2E4A"/>
          <w:sz w:val="20"/>
          <w:szCs w:val="20"/>
        </w:rPr>
        <w:t xml:space="preserve">7.2  </w:t>
      </w:r>
      <w:r>
        <w:rPr>
          <w:rFonts w:ascii="Arial" w:cs="Arial" w:eastAsia="Arial" w:hAnsi="Arial"/>
          <w:b/>
          <w:bCs/>
          <w:i w:val="false"/>
          <w:iCs w:val="false"/>
          <w:caps w:val="false"/>
          <w:color w:val="5A5A5A"/>
          <w:sz w:val="20"/>
          <w:szCs w:val="20"/>
        </w:rPr>
        <w:t xml:space="preserve">Permitted Transfers.</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may transfer its interest to an Affiliate without Manager consent, provided that: (a) the transferee satisfies all investor qualification requirements; (b) the transferee executes a joinder agreement in the form attached hereto as Exhibit B; and (c) the transfer does not cause any adverse tax or regulatory consequences for the SPV.</w:t>
      </w:r>
    </w:p>
    <w:p>
      <w:pPr>
        <w:spacing w:after="60" w:before="180" w:line="276"/>
        <w:jc w:val="left"/>
      </w:pPr>
      <w:r>
        <w:rPr>
          <w:rFonts w:ascii="Arial" w:cs="Arial" w:eastAsia="Arial" w:hAnsi="Arial"/>
          <w:b/>
          <w:bCs/>
          <w:i w:val="false"/>
          <w:iCs w:val="false"/>
          <w:caps w:val="false"/>
          <w:color w:val="1A2E4A"/>
          <w:sz w:val="20"/>
          <w:szCs w:val="20"/>
        </w:rPr>
        <w:t xml:space="preserve">7.3  </w:t>
      </w:r>
      <w:r>
        <w:rPr>
          <w:rFonts w:ascii="Arial" w:cs="Arial" w:eastAsia="Arial" w:hAnsi="Arial"/>
          <w:b/>
          <w:bCs/>
          <w:i w:val="false"/>
          <w:iCs w:val="false"/>
          <w:caps w:val="false"/>
          <w:color w:val="5A5A5A"/>
          <w:sz w:val="20"/>
          <w:szCs w:val="20"/>
        </w:rPr>
        <w:t xml:space="preserve">ROFR.</w:t>
      </w:r>
    </w:p>
    <w:p>
      <w:pPr>
        <w:spacing w:after="60" w:before="60" w:line="300"/>
        <w:jc w:val="left"/>
      </w:pPr>
      <w:r>
        <w:rPr>
          <w:rFonts w:ascii="Arial" w:cs="Arial" w:eastAsia="Arial" w:hAnsi="Arial"/>
          <w:b w:val="false"/>
          <w:bCs w:val="false"/>
          <w:i w:val="false"/>
          <w:iCs w:val="false"/>
          <w:caps w:val="false"/>
          <w:color w:val="3A3A3A"/>
          <w:sz w:val="20"/>
          <w:szCs w:val="20"/>
        </w:rPr>
        <w:t xml:space="preserve">Prior to any permitted transfer, the Joining Member shall offer the Manager and other Members a right of first refusal to purchase the transferring interest at the proposed transfer price. Such right must be exercised within fifteen (15) Business Days of receipt of a written notice of the proposed transfer.</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VIII</w:t>
      </w:r>
      <w:r>
        <w:rPr>
          <w:rFonts w:ascii="Arial" w:cs="Arial" w:eastAsia="Arial" w:hAnsi="Arial"/>
          <w:b/>
          <w:bCs/>
          <w:i w:val="false"/>
          <w:iCs w:val="false"/>
          <w:caps w:val="false"/>
          <w:color w:val="1A2E4A"/>
          <w:sz w:val="22"/>
          <w:szCs w:val="22"/>
        </w:rPr>
        <w:t xml:space="preserve">    CONFIDENTIALITY AND REPRESENTATIONS</w:t>
      </w:r>
    </w:p>
    <w:p>
      <w:pPr>
        <w:spacing w:after="60" w:before="180" w:line="276"/>
        <w:jc w:val="left"/>
      </w:pPr>
      <w:r>
        <w:rPr>
          <w:rFonts w:ascii="Arial" w:cs="Arial" w:eastAsia="Arial" w:hAnsi="Arial"/>
          <w:b/>
          <w:bCs/>
          <w:i w:val="false"/>
          <w:iCs w:val="false"/>
          <w:caps w:val="false"/>
          <w:color w:val="1A2E4A"/>
          <w:sz w:val="20"/>
          <w:szCs w:val="20"/>
        </w:rPr>
        <w:t xml:space="preserve">8.1  </w:t>
      </w:r>
      <w:r>
        <w:rPr>
          <w:rFonts w:ascii="Arial" w:cs="Arial" w:eastAsia="Arial" w:hAnsi="Arial"/>
          <w:b/>
          <w:bCs/>
          <w:i w:val="false"/>
          <w:iCs w:val="false"/>
          <w:caps w:val="false"/>
          <w:color w:val="5A5A5A"/>
          <w:sz w:val="20"/>
          <w:szCs w:val="20"/>
        </w:rPr>
        <w:t xml:space="preserve">Confidentiality.</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agrees to maintain strict confidentiality with respect to: (a) the existence and terms of this Joinder and the SPV Operating Agreement; (b) all information regarding the Target Company; and (c) all information regarding other Members of the SPV. This obligation shall survive termination of the SPV for a period of five (5) years.</w:t>
      </w:r>
    </w:p>
    <w:p>
      <w:pPr>
        <w:spacing w:after="60" w:before="180" w:line="276"/>
        <w:jc w:val="left"/>
      </w:pPr>
      <w:r>
        <w:rPr>
          <w:rFonts w:ascii="Arial" w:cs="Arial" w:eastAsia="Arial" w:hAnsi="Arial"/>
          <w:b/>
          <w:bCs/>
          <w:i w:val="false"/>
          <w:iCs w:val="false"/>
          <w:caps w:val="false"/>
          <w:color w:val="1A2E4A"/>
          <w:sz w:val="20"/>
          <w:szCs w:val="20"/>
        </w:rPr>
        <w:t xml:space="preserve">8.2  </w:t>
      </w:r>
      <w:r>
        <w:rPr>
          <w:rFonts w:ascii="Arial" w:cs="Arial" w:eastAsia="Arial" w:hAnsi="Arial"/>
          <w:b/>
          <w:bCs/>
          <w:i w:val="false"/>
          <w:iCs w:val="false"/>
          <w:caps w:val="false"/>
          <w:color w:val="5A5A5A"/>
          <w:sz w:val="20"/>
          <w:szCs w:val="20"/>
        </w:rPr>
        <w:t xml:space="preserve">AML/KYC.</w:t>
      </w:r>
    </w:p>
    <w:p>
      <w:pPr>
        <w:spacing w:after="60" w:before="60" w:line="300"/>
        <w:jc w:val="left"/>
      </w:pPr>
      <w:r>
        <w:rPr>
          <w:rFonts w:ascii="Arial" w:cs="Arial" w:eastAsia="Arial" w:hAnsi="Arial"/>
          <w:b w:val="false"/>
          <w:bCs w:val="false"/>
          <w:i w:val="false"/>
          <w:iCs w:val="false"/>
          <w:caps w:val="false"/>
          <w:color w:val="3A3A3A"/>
          <w:sz w:val="20"/>
          <w:szCs w:val="20"/>
        </w:rPr>
        <w:t xml:space="preserve">The Joining Member agrees to provide such information and documentation as the Manager may reasonably request in connection with AML/KYC obligations, FATCA compliance, and CRS reporting. The Manager may delay or suspend distributions to the Joining Member pending receipt of required AML/KYC documentation.</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IX</w:t>
      </w:r>
      <w:r>
        <w:rPr>
          <w:rFonts w:ascii="Arial" w:cs="Arial" w:eastAsia="Arial" w:hAnsi="Arial"/>
          <w:b/>
          <w:bCs/>
          <w:i w:val="false"/>
          <w:iCs w:val="false"/>
          <w:caps w:val="false"/>
          <w:color w:val="1A2E4A"/>
          <w:sz w:val="22"/>
          <w:szCs w:val="22"/>
        </w:rPr>
        <w:t xml:space="preserve">    MISCELLANEOUS</w:t>
      </w:r>
    </w:p>
    <w:p>
      <w:pPr>
        <w:spacing w:after="60" w:before="180" w:line="276"/>
        <w:jc w:val="left"/>
      </w:pPr>
      <w:r>
        <w:rPr>
          <w:rFonts w:ascii="Arial" w:cs="Arial" w:eastAsia="Arial" w:hAnsi="Arial"/>
          <w:b/>
          <w:bCs/>
          <w:i w:val="false"/>
          <w:iCs w:val="false"/>
          <w:caps w:val="false"/>
          <w:color w:val="1A2E4A"/>
          <w:sz w:val="20"/>
          <w:szCs w:val="20"/>
        </w:rPr>
        <w:t xml:space="preserve">9.1  </w:t>
      </w:r>
      <w:r>
        <w:rPr>
          <w:rFonts w:ascii="Arial" w:cs="Arial" w:eastAsia="Arial" w:hAnsi="Arial"/>
          <w:b/>
          <w:bCs/>
          <w:i w:val="false"/>
          <w:iCs w:val="false"/>
          <w:caps w:val="false"/>
          <w:color w:val="5A5A5A"/>
          <w:sz w:val="20"/>
          <w:szCs w:val="20"/>
        </w:rPr>
        <w:t xml:space="preserve">Governing Law.</w:t>
      </w:r>
    </w:p>
    <w:p>
      <w:pPr>
        <w:spacing w:after="60" w:before="60" w:line="300"/>
        <w:jc w:val="left"/>
      </w:pPr>
      <w:r>
        <w:rPr>
          <w:rFonts w:ascii="Arial" w:cs="Arial" w:eastAsia="Arial" w:hAnsi="Arial"/>
          <w:b w:val="false"/>
          <w:bCs w:val="false"/>
          <w:i w:val="false"/>
          <w:iCs w:val="false"/>
          <w:caps w:val="false"/>
          <w:color w:val="3A3A3A"/>
          <w:sz w:val="20"/>
          <w:szCs w:val="20"/>
        </w:rPr>
        <w:t xml:space="preserve">This Joinder shall be governed by the laws of the State of Delaware.</w:t>
      </w:r>
    </w:p>
    <w:p>
      <w:pPr>
        <w:spacing w:after="60" w:before="180" w:line="276"/>
        <w:jc w:val="left"/>
      </w:pPr>
      <w:r>
        <w:rPr>
          <w:rFonts w:ascii="Arial" w:cs="Arial" w:eastAsia="Arial" w:hAnsi="Arial"/>
          <w:b/>
          <w:bCs/>
          <w:i w:val="false"/>
          <w:iCs w:val="false"/>
          <w:caps w:val="false"/>
          <w:color w:val="1A2E4A"/>
          <w:sz w:val="20"/>
          <w:szCs w:val="20"/>
        </w:rPr>
        <w:t xml:space="preserve">9.2  </w:t>
      </w:r>
      <w:r>
        <w:rPr>
          <w:rFonts w:ascii="Arial" w:cs="Arial" w:eastAsia="Arial" w:hAnsi="Arial"/>
          <w:b/>
          <w:bCs/>
          <w:i w:val="false"/>
          <w:iCs w:val="false"/>
          <w:caps w:val="false"/>
          <w:color w:val="5A5A5A"/>
          <w:sz w:val="20"/>
          <w:szCs w:val="20"/>
        </w:rPr>
        <w:t xml:space="preserve">Entire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Joinder, together with the SPV Operating Agreement and Schedules hereto, constitutes the entire agreement of the parties with respect to the subject matter hereof.</w:t>
      </w:r>
    </w:p>
    <w:p>
      <w:pPr>
        <w:spacing w:after="60" w:before="180" w:line="276"/>
        <w:jc w:val="left"/>
      </w:pPr>
      <w:r>
        <w:rPr>
          <w:rFonts w:ascii="Arial" w:cs="Arial" w:eastAsia="Arial" w:hAnsi="Arial"/>
          <w:b/>
          <w:bCs/>
          <w:i w:val="false"/>
          <w:iCs w:val="false"/>
          <w:caps w:val="false"/>
          <w:color w:val="1A2E4A"/>
          <w:sz w:val="20"/>
          <w:szCs w:val="20"/>
        </w:rPr>
        <w:t xml:space="preserve">9.3  </w:t>
      </w:r>
      <w:r>
        <w:rPr>
          <w:rFonts w:ascii="Arial" w:cs="Arial" w:eastAsia="Arial" w:hAnsi="Arial"/>
          <w:b/>
          <w:bCs/>
          <w:i w:val="false"/>
          <w:iCs w:val="false"/>
          <w:caps w:val="false"/>
          <w:color w:val="5A5A5A"/>
          <w:sz w:val="20"/>
          <w:szCs w:val="20"/>
        </w:rPr>
        <w:t xml:space="preserve">Counterparts.</w:t>
      </w:r>
    </w:p>
    <w:p>
      <w:pPr>
        <w:spacing w:after="60" w:before="60" w:line="300"/>
        <w:jc w:val="left"/>
      </w:pPr>
      <w:r>
        <w:rPr>
          <w:rFonts w:ascii="Arial" w:cs="Arial" w:eastAsia="Arial" w:hAnsi="Arial"/>
          <w:b w:val="false"/>
          <w:bCs w:val="false"/>
          <w:i w:val="false"/>
          <w:iCs w:val="false"/>
          <w:caps w:val="false"/>
          <w:color w:val="3A3A3A"/>
          <w:sz w:val="20"/>
          <w:szCs w:val="20"/>
        </w:rPr>
        <w:t xml:space="preserve">This Joinder may be executed in counterparts, including by electronic signature, each of which shall be deemed an original.</w:t>
      </w:r>
    </w:p>
    <w:p>
      <w:pPr>
        <w:spacing w:after="60" w:before="180" w:line="276"/>
        <w:jc w:val="left"/>
      </w:pPr>
      <w:r>
        <w:rPr>
          <w:rFonts w:ascii="Arial" w:cs="Arial" w:eastAsia="Arial" w:hAnsi="Arial"/>
          <w:b/>
          <w:bCs/>
          <w:i w:val="false"/>
          <w:iCs w:val="false"/>
          <w:caps w:val="false"/>
          <w:color w:val="1A2E4A"/>
          <w:sz w:val="20"/>
          <w:szCs w:val="20"/>
        </w:rPr>
        <w:t xml:space="preserve">9.4  </w:t>
      </w:r>
      <w:r>
        <w:rPr>
          <w:rFonts w:ascii="Arial" w:cs="Arial" w:eastAsia="Arial" w:hAnsi="Arial"/>
          <w:b/>
          <w:bCs/>
          <w:i w:val="false"/>
          <w:iCs w:val="false"/>
          <w:caps w:val="false"/>
          <w:color w:val="5A5A5A"/>
          <w:sz w:val="20"/>
          <w:szCs w:val="20"/>
        </w:rPr>
        <w:t xml:space="preserve">Severability.</w:t>
      </w:r>
    </w:p>
    <w:p>
      <w:pPr>
        <w:spacing w:after="60" w:before="60" w:line="300"/>
        <w:jc w:val="left"/>
      </w:pPr>
      <w:r>
        <w:rPr>
          <w:rFonts w:ascii="Arial" w:cs="Arial" w:eastAsia="Arial" w:hAnsi="Arial"/>
          <w:b w:val="false"/>
          <w:bCs w:val="false"/>
          <w:i w:val="false"/>
          <w:iCs w:val="false"/>
          <w:caps w:val="false"/>
          <w:color w:val="3A3A3A"/>
          <w:sz w:val="20"/>
          <w:szCs w:val="20"/>
        </w:rPr>
        <w:t xml:space="preserve">If any provision is held invalid, the remaining provisions shall continue in full force and effect.</w:t>
      </w:r>
    </w:p>
    <w:p>
      <w:pPr>
        <w:spacing w:after="60" w:before="180" w:line="276"/>
        <w:jc w:val="left"/>
      </w:pPr>
      <w:r>
        <w:rPr>
          <w:rFonts w:ascii="Arial" w:cs="Arial" w:eastAsia="Arial" w:hAnsi="Arial"/>
          <w:b/>
          <w:bCs/>
          <w:i w:val="false"/>
          <w:iCs w:val="false"/>
          <w:caps w:val="false"/>
          <w:color w:val="1A2E4A"/>
          <w:sz w:val="20"/>
          <w:szCs w:val="20"/>
        </w:rPr>
        <w:t xml:space="preserve">9.5  </w:t>
      </w:r>
      <w:r>
        <w:rPr>
          <w:rFonts w:ascii="Arial" w:cs="Arial" w:eastAsia="Arial" w:hAnsi="Arial"/>
          <w:b/>
          <w:bCs/>
          <w:i w:val="false"/>
          <w:iCs w:val="false"/>
          <w:caps w:val="false"/>
          <w:color w:val="5A5A5A"/>
          <w:sz w:val="20"/>
          <w:szCs w:val="20"/>
        </w:rPr>
        <w:t xml:space="preserve">Amendments.</w:t>
      </w:r>
    </w:p>
    <w:p>
      <w:pPr>
        <w:spacing w:after="60" w:before="60" w:line="300"/>
        <w:jc w:val="left"/>
      </w:pPr>
      <w:r>
        <w:rPr>
          <w:rFonts w:ascii="Arial" w:cs="Arial" w:eastAsia="Arial" w:hAnsi="Arial"/>
          <w:b w:val="false"/>
          <w:bCs w:val="false"/>
          <w:i w:val="false"/>
          <w:iCs w:val="false"/>
          <w:caps w:val="false"/>
          <w:color w:val="3A3A3A"/>
          <w:sz w:val="20"/>
          <w:szCs w:val="20"/>
        </w:rPr>
        <w:t xml:space="preserve">This Joinder may be amended only by written instrument signed by the Manager and the Joining Member.</w:t>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SCHEDULES</w:t>
      </w:r>
    </w:p>
    <w:p>
      <w:pPr>
        <w:pStyle w:val="Heading2"/>
        <w:spacing w:after="100" w:before="260"/>
      </w:pPr>
      <w:r>
        <w:rPr>
          <w:rFonts w:ascii="Arial" w:cs="Arial" w:eastAsia="Arial" w:hAnsi="Arial"/>
          <w:b/>
          <w:bCs/>
          <w:i w:val="false"/>
          <w:iCs w:val="false"/>
          <w:caps w:val="false"/>
          <w:color w:val="1A2E4A"/>
          <w:sz w:val="23"/>
          <w:szCs w:val="23"/>
        </w:rPr>
        <w:t xml:space="preserve">Schedule A — Joining Member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Joining Member Legal Name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Entity Type / Jurisdiction</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Tax Identification Number</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Commitment Amount (USD)</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Pro Rata Share (%)</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To be calculated by Manager at closing</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Wire / Settlement Instructions</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As provided by Manager</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Date of Admission</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w:r>
          </w:p>
        </w:tc>
      </w:tr>
    </w:tbl>
    <w:p>
      <w:pPr>
        <w:spacing w:after="0" w:before="120" w:line="276"/>
        <w:jc w:val="left"/>
      </w:pPr>
    </w:p>
    <w:p>
      <w:pPr>
        <w:pStyle w:val="Heading2"/>
        <w:spacing w:after="100" w:before="260"/>
      </w:pPr>
      <w:r>
        <w:rPr>
          <w:rFonts w:ascii="Arial" w:cs="Arial" w:eastAsia="Arial" w:hAnsi="Arial"/>
          <w:b/>
          <w:bCs/>
          <w:i w:val="false"/>
          <w:iCs w:val="false"/>
          <w:caps w:val="false"/>
          <w:color w:val="1A2E4A"/>
          <w:sz w:val="23"/>
          <w:szCs w:val="23"/>
        </w:rPr>
        <w:t xml:space="preserve">Schedule B — Investment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Target Company</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Target Company Sector</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Artificial Intelligence / Technology / Media</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Investment Instrument</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Common Equity  ☐ Preferred Equity  ☐ Convertible Note  ☐ SAFE  ☐ Other: ___</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Investment Amount (SPV)</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Lead Investor</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Venture Fund I, LP</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Post-Money Valuation</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USD ___</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Target Close Date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Board Seat / Observer</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Board Seat  ☐ Observer  ☐ None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Pro Rata Right</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 Yes (___% of future rounds)  ☐ No</w:t>
            </w:r>
          </w:p>
        </w:tc>
      </w:tr>
    </w:tbl>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THE MANAGER</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StudioOS AI GP, LLC</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JOINING MEMBER</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[Title if entity]</w:t>
      </w:r>
    </w:p>
    <w:p>
      <w:pPr>
        <w:spacing w:after="20" w:before="20" w:line="276"/>
        <w:jc w:val="left"/>
      </w:pPr>
      <w:r>
        <w:rPr>
          <w:rFonts w:ascii="Arial" w:cs="Arial" w:eastAsia="Arial" w:hAnsi="Arial"/>
          <w:b w:val="false"/>
          <w:bCs w:val="false"/>
          <w:i/>
          <w:iCs/>
          <w:caps w:val="false"/>
          <w:color w:val="5A5A5A"/>
          <w:sz w:val="18"/>
          <w:szCs w:val="18"/>
        </w:rPr>
        <w:t xml:space="preserve">Entity: [Full Legal Name of Joining Member]</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DD4" w:sz="4" w:space="4"/>
      </w:pBdr>
      <w:spacing w:after="0" w:before="0"/>
      <w:jc w:val="center"/>
    </w:pPr>
    <w:r>
      <w:rPr>
        <w:rFonts w:ascii="Arial" w:cs="Arial" w:eastAsia="Arial" w:hAnsi="Arial"/>
        <w:b w:val="false"/>
        <w:bCs w:val="false"/>
        <w:i w:val="false"/>
        <w:iCs w:val="false"/>
        <w:caps w:val="false"/>
        <w:color w:val="5A5A5A"/>
        <w:sz w:val="16"/>
        <w:szCs w:val="16"/>
      </w:rPr>
      <w:t xml:space="preserve">Confidential — StudioOS AI  |  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DD4" w:sz="4" w:space="4"/>
      </w:pBdr>
      <w:spacing w:after="0" w:before="0"/>
      <w:jc w:val="left"/>
    </w:pPr>
    <w:r>
      <w:rPr>
        <w:rFonts w:ascii="Arial" w:cs="Arial" w:eastAsia="Arial" w:hAnsi="Arial"/>
        <w:b w:val="false"/>
        <w:bCs w:val="false"/>
        <w:i/>
        <w:iCs/>
        <w:caps w:val="false"/>
        <w:color w:val="5A5A5A"/>
        <w:sz w:val="16"/>
        <w:szCs w:val="16"/>
      </w:rPr>
      <w:t xml:space="preserve">SPV Joinder Agreement (Syndicate) — StudioOS AI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E4A"/>
      <w:sz w:val="28"/>
      <w:szCs w:val="28"/>
    </w:rPr>
  </w:style>
  <w:style w:type="paragraph" w:styleId="Heading2">
    <w:name w:val="Heading 2"/>
    <w:basedOn w:val="Normal"/>
    <w:next w:val="Normal"/>
    <w:qFormat/>
    <w:pPr>
      <w:spacing w:after="100" w:before="260"/>
      <w:outlineLvl w:val="1"/>
    </w:pPr>
    <w:rPr>
      <w:rFonts w:ascii="Arial" w:cs="Arial" w:eastAsia="Arial" w:hAnsi="Arial"/>
      <w:b/>
      <w:bCs/>
      <w:color w:val="1A2E4A"/>
      <w:sz w:val="23"/>
      <w:szCs w:val="23"/>
    </w:rPr>
  </w:style>
  <w:style w:type="paragraph" w:styleId="Heading3">
    <w:name w:val="Heading 3"/>
    <w:basedOn w:val="Normal"/>
    <w:next w:val="Normal"/>
    <w:qFormat/>
    <w:pPr>
      <w:spacing w:after="60" w:before="180"/>
      <w:outlineLvl w:val="2"/>
    </w:pPr>
    <w:rPr>
      <w:rFonts w:ascii="Arial" w:cs="Arial" w:eastAsia="Arial" w:hAnsi="Arial"/>
      <w:b/>
      <w:bCs/>
      <w:color w:val="5A5A5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2026-05-01T19:17:38.637Z</dcterms:created>
  <dcterms:modified xsi:type="dcterms:W3CDTF">2026-05-01T19:17:38.652Z</dcterms:modified>
</cp:coreProperties>
</file>

<file path=docProps/custom.xml><?xml version="1.0" encoding="utf-8"?>
<Properties xmlns="http://schemas.openxmlformats.org/officeDocument/2006/custom-properties" xmlns:vt="http://schemas.openxmlformats.org/officeDocument/2006/docPropsVTypes"/>
</file>