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Strategic Side Letter</w:t>
      </w:r>
    </w:p>
    <w:p>
      <w:pPr>
        <w:spacing w:after="300" w:before="0"/>
        <w:jc w:val="center"/>
      </w:pPr>
      <w:r>
        <w:rPr>
          <w:rFonts w:ascii="Arial" w:cs="Arial" w:eastAsia="Arial" w:hAnsi="Arial"/>
          <w:b w:val="false"/>
          <w:bCs w:val="false"/>
          <w:i/>
          <w:iCs/>
          <w:caps w:val="false"/>
          <w:color w:val="5A5A5A"/>
          <w:sz w:val="22"/>
          <w:szCs w:val="22"/>
        </w:rPr>
        <w:t xml:space="preserve">Focused SPV — Sector LP Terms</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Fund</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Venture Fund I, LP</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General Partner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GP, LLC</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Sector LP</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[FULL LEGAL NAME OF SECTOR LIMITED PARTNER]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Sector Focus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[AI Infrastructure / Media Tech / Enterprise SaaS / Other]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Sector Commitment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[___,000,000]</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Focused SPV</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Sector SPV — [SECTOR], LLC</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Delaware, United States of America</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STRATEGIC SIDE LETTER — FOCUSED SPV / SECTOR LP</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Strategic Side Letter (this "Letter") is entered into as of [DATE] between StudioOS AI GP, LLC, a Delaware limited liability company (the "General Partner"), as manager of StudioOS AI Venture Fund I, LP (the "Master Fund") and of StudioOS AI Sector SPV — [SECTOR], LLC (the "Focused SPV"), and [FULL LEGAL NAME] (the "Sector LP"). Capitalized terms not defined herein have the meanings given in the Master Fund LPA.</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PURPOSE AND STRUCTURE</w:t>
      </w:r>
    </w:p>
    <w:p>
      <w:pPr>
        <w:spacing w:after="60" w:before="180" w:line="276"/>
        <w:jc w:val="left"/>
      </w:pPr>
      <w:r>
        <w:rPr>
          <w:rFonts w:ascii="Arial" w:cs="Arial" w:eastAsia="Arial" w:hAnsi="Arial"/>
          <w:b/>
          <w:bCs/>
          <w:i w:val="false"/>
          <w:iCs w:val="false"/>
          <w:caps w:val="false"/>
          <w:color w:val="1A2E4A"/>
          <w:sz w:val="20"/>
          <w:szCs w:val="20"/>
        </w:rPr>
        <w:t xml:space="preserve">1.1  </w:t>
      </w:r>
      <w:r>
        <w:rPr>
          <w:rFonts w:ascii="Arial" w:cs="Arial" w:eastAsia="Arial" w:hAnsi="Arial"/>
          <w:b/>
          <w:bCs/>
          <w:i w:val="false"/>
          <w:iCs w:val="false"/>
          <w:caps w:val="false"/>
          <w:color w:val="5A5A5A"/>
          <w:sz w:val="20"/>
          <w:szCs w:val="20"/>
        </w:rPr>
        <w:t xml:space="preserve">Focused SPV Structure.</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has established the Focused SPV as a co-investment vehicle exclusively for investments within the [SECTOR] sector (the "Sector"). The Sector LP is investing in the Focused SPV to gain concentrated exposure to the Sector alongside the Master Fund's broader mandate.</w:t>
      </w:r>
    </w:p>
    <w:p>
      <w:pPr>
        <w:spacing w:after="60" w:before="180" w:line="276"/>
        <w:jc w:val="left"/>
      </w:pPr>
      <w:r>
        <w:rPr>
          <w:rFonts w:ascii="Arial" w:cs="Arial" w:eastAsia="Arial" w:hAnsi="Arial"/>
          <w:b/>
          <w:bCs/>
          <w:i w:val="false"/>
          <w:iCs w:val="false"/>
          <w:caps w:val="false"/>
          <w:color w:val="1A2E4A"/>
          <w:sz w:val="20"/>
          <w:szCs w:val="20"/>
        </w:rPr>
        <w:t xml:space="preserve">1.2  </w:t>
      </w:r>
      <w:r>
        <w:rPr>
          <w:rFonts w:ascii="Arial" w:cs="Arial" w:eastAsia="Arial" w:hAnsi="Arial"/>
          <w:b/>
          <w:bCs/>
          <w:i w:val="false"/>
          <w:iCs w:val="false"/>
          <w:caps w:val="false"/>
          <w:color w:val="5A5A5A"/>
          <w:sz w:val="20"/>
          <w:szCs w:val="20"/>
        </w:rPr>
        <w:t xml:space="preserve">Relationship to Master Fund.</w:t>
      </w:r>
    </w:p>
    <w:p>
      <w:pPr>
        <w:spacing w:after="60" w:before="60" w:line="300"/>
        <w:jc w:val="left"/>
      </w:pPr>
      <w:r>
        <w:rPr>
          <w:rFonts w:ascii="Arial" w:cs="Arial" w:eastAsia="Arial" w:hAnsi="Arial"/>
          <w:b w:val="false"/>
          <w:bCs w:val="false"/>
          <w:i w:val="false"/>
          <w:iCs w:val="false"/>
          <w:caps w:val="false"/>
          <w:color w:val="3A3A3A"/>
          <w:sz w:val="20"/>
          <w:szCs w:val="20"/>
        </w:rPr>
        <w:t xml:space="preserve">The Focused SPV shall invest exclusively alongside the Master Fund in Portfolio Companies operating within the Sector. All Focused SPV investments shall be subject to the same due diligence, approval, and portfolio management processes as Master Fund investments. The Master Fund shall lead all investments; the Focused SPV shall participate as a co-investor.</w:t>
      </w:r>
    </w:p>
    <w:p>
      <w:pPr>
        <w:spacing w:after="60" w:before="180" w:line="276"/>
        <w:jc w:val="left"/>
      </w:pPr>
      <w:r>
        <w:rPr>
          <w:rFonts w:ascii="Arial" w:cs="Arial" w:eastAsia="Arial" w:hAnsi="Arial"/>
          <w:b/>
          <w:bCs/>
          <w:i w:val="false"/>
          <w:iCs w:val="false"/>
          <w:caps w:val="false"/>
          <w:color w:val="1A2E4A"/>
          <w:sz w:val="20"/>
          <w:szCs w:val="20"/>
        </w:rPr>
        <w:t xml:space="preserve">1.3  </w:t>
      </w:r>
      <w:r>
        <w:rPr>
          <w:rFonts w:ascii="Arial" w:cs="Arial" w:eastAsia="Arial" w:hAnsi="Arial"/>
          <w:b/>
          <w:bCs/>
          <w:i w:val="false"/>
          <w:iCs w:val="false"/>
          <w:caps w:val="false"/>
          <w:color w:val="5A5A5A"/>
          <w:sz w:val="20"/>
          <w:szCs w:val="20"/>
        </w:rPr>
        <w:t xml:space="preserve">Sector Definition.</w:t>
      </w:r>
    </w:p>
    <w:p>
      <w:pPr>
        <w:spacing w:after="60" w:before="60" w:line="300"/>
        <w:jc w:val="left"/>
      </w:pPr>
      <w:r>
        <w:rPr>
          <w:rFonts w:ascii="Arial" w:cs="Arial" w:eastAsia="Arial" w:hAnsi="Arial"/>
          <w:b w:val="false"/>
          <w:bCs w:val="false"/>
          <w:i w:val="false"/>
          <w:iCs w:val="false"/>
          <w:caps w:val="false"/>
          <w:color w:val="3A3A3A"/>
          <w:sz w:val="20"/>
          <w:szCs w:val="20"/>
        </w:rPr>
        <w:t xml:space="preserve">For purposes of this Letter, the "Sector" means companies primarily engaged in: [DESCRIPTION OF SECTOR, e.g., artificial intelligence infrastructure, model development, AI application layer software, machine learning tooling, data infrastructure for AI, or such other activities as the General Partner reasonably determines to fall within the Sector]. The General Partner shall have sole discretion to classify investments within or outside the Sector.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ECONOMICS OF THE FOCUSED SPV</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Management Fee.</w:t>
      </w:r>
    </w:p>
    <w:p>
      <w:pPr>
        <w:spacing w:after="60" w:before="60" w:line="300"/>
        <w:jc w:val="left"/>
      </w:pPr>
      <w:r>
        <w:rPr>
          <w:rFonts w:ascii="Arial" w:cs="Arial" w:eastAsia="Arial" w:hAnsi="Arial"/>
          <w:b w:val="false"/>
          <w:bCs w:val="false"/>
          <w:i w:val="false"/>
          <w:iCs w:val="false"/>
          <w:caps w:val="false"/>
          <w:color w:val="3A3A3A"/>
          <w:sz w:val="20"/>
          <w:szCs w:val="20"/>
        </w:rPr>
        <w:t xml:space="preserve">The Sector LP shall pay the General Partner an annual Management Fee of [1.5%] of the Sector LP's Commitment to the Focused SPV, payable quarterly in advance. No separate management fee shall be charged in the Master Fund on any amount attributed to Focused SPV investments.</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Carried Interest.</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shall be entitled to Carried Interest of [15%] of Net Profits of the Focused SPV above a Preferred Return of [8%] per annum. The parties acknowledge that this Carried Interest rate is preferential to the Master Fund standard rate and reflects the Sector LP's concentrated commitment.</w:t>
      </w:r>
    </w:p>
    <w:p>
      <w:pPr>
        <w:spacing w:after="60" w:before="180" w:line="276"/>
        <w:jc w:val="left"/>
      </w:pPr>
      <w:r>
        <w:rPr>
          <w:rFonts w:ascii="Arial" w:cs="Arial" w:eastAsia="Arial" w:hAnsi="Arial"/>
          <w:b/>
          <w:bCs/>
          <w:i w:val="false"/>
          <w:iCs w:val="false"/>
          <w:caps w:val="false"/>
          <w:color w:val="1A2E4A"/>
          <w:sz w:val="20"/>
          <w:szCs w:val="20"/>
        </w:rPr>
        <w:t xml:space="preserve">2.3  </w:t>
      </w:r>
      <w:r>
        <w:rPr>
          <w:rFonts w:ascii="Arial" w:cs="Arial" w:eastAsia="Arial" w:hAnsi="Arial"/>
          <w:b/>
          <w:bCs/>
          <w:i w:val="false"/>
          <w:iCs w:val="false"/>
          <w:caps w:val="false"/>
          <w:color w:val="5A5A5A"/>
          <w:sz w:val="20"/>
          <w:szCs w:val="20"/>
        </w:rPr>
        <w:t xml:space="preserve">Allocation Policy.</w:t>
      </w:r>
    </w:p>
    <w:p>
      <w:pPr>
        <w:spacing w:after="60" w:before="60" w:line="300"/>
        <w:jc w:val="left"/>
      </w:pPr>
      <w:r>
        <w:rPr>
          <w:rFonts w:ascii="Arial" w:cs="Arial" w:eastAsia="Arial" w:hAnsi="Arial"/>
          <w:b w:val="false"/>
          <w:bCs w:val="false"/>
          <w:i w:val="false"/>
          <w:iCs w:val="false"/>
          <w:caps w:val="false"/>
          <w:color w:val="3A3A3A"/>
          <w:sz w:val="20"/>
          <w:szCs w:val="20"/>
        </w:rPr>
        <w:t xml:space="preserve">(a) The General Partner shall allocate each Sector investment between the Master Fund and the Focused SPV on the basis of the relative commitments of each vehicle, subject to any adjustment required by applicable law or regulatory considerations.
(b) The Focused SPV's allocation in any single investment shall not exceed [30%] of its total Committed Capital without the Sector LP's written consent.
(c) The Sector LP acknowledges that concentrated sector exposure entails greater risk than diversified investing.</w:t>
      </w:r>
    </w:p>
    <w:p>
      <w:pPr>
        <w:spacing w:after="60" w:before="180" w:line="276"/>
        <w:jc w:val="left"/>
      </w:pPr>
      <w:r>
        <w:rPr>
          <w:rFonts w:ascii="Arial" w:cs="Arial" w:eastAsia="Arial" w:hAnsi="Arial"/>
          <w:b/>
          <w:bCs/>
          <w:i w:val="false"/>
          <w:iCs w:val="false"/>
          <w:caps w:val="false"/>
          <w:color w:val="1A2E4A"/>
          <w:sz w:val="20"/>
          <w:szCs w:val="20"/>
        </w:rPr>
        <w:t xml:space="preserve">2.4  </w:t>
      </w:r>
      <w:r>
        <w:rPr>
          <w:rFonts w:ascii="Arial" w:cs="Arial" w:eastAsia="Arial" w:hAnsi="Arial"/>
          <w:b/>
          <w:bCs/>
          <w:i w:val="false"/>
          <w:iCs w:val="false"/>
          <w:caps w:val="false"/>
          <w:color w:val="5A5A5A"/>
          <w:sz w:val="20"/>
          <w:szCs w:val="20"/>
        </w:rPr>
        <w:t xml:space="preserve">Catch-Up and Waterfall.</w:t>
      </w:r>
    </w:p>
    <w:p>
      <w:pPr>
        <w:spacing w:after="60" w:before="60" w:line="300"/>
        <w:jc w:val="left"/>
      </w:pPr>
      <w:r>
        <w:rPr>
          <w:rFonts w:ascii="Arial" w:cs="Arial" w:eastAsia="Arial" w:hAnsi="Arial"/>
          <w:b w:val="false"/>
          <w:bCs w:val="false"/>
          <w:i w:val="false"/>
          <w:iCs w:val="false"/>
          <w:caps w:val="false"/>
          <w:color w:val="3A3A3A"/>
          <w:sz w:val="20"/>
          <w:szCs w:val="20"/>
        </w:rPr>
        <w:t xml:space="preserve">The distribution waterfall applicable to the Focused SPV shall be: (i) return of capital; (ii) Preferred Return; (iii) 100% General Partner Catch-Up to full Carried Interest percentage; (iv) thereafter, [85%] to Members / [15%] to General Partner.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SECTOR LP RIGHTS</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Sector Advisory Role.</w:t>
      </w:r>
    </w:p>
    <w:p>
      <w:pPr>
        <w:spacing w:after="60" w:before="60" w:line="300"/>
        <w:jc w:val="left"/>
      </w:pPr>
      <w:r>
        <w:rPr>
          <w:rFonts w:ascii="Arial" w:cs="Arial" w:eastAsia="Arial" w:hAnsi="Arial"/>
          <w:b w:val="false"/>
          <w:bCs w:val="false"/>
          <w:i w:val="false"/>
          <w:iCs w:val="false"/>
          <w:caps w:val="false"/>
          <w:color w:val="3A3A3A"/>
          <w:sz w:val="20"/>
          <w:szCs w:val="20"/>
        </w:rPr>
        <w:t xml:space="preserve">The Sector LP shall have the right to designate one (1) representative to serve as a non-voting sector advisor to the General Partner's investment team with respect to Sector investments. The sector advisor shall: (a) receive advance briefings on prospective Sector investments; (b) be entitled to provide non-binding input on Sector investment decisions; and (c) attend sector-focused portfolio review sessions quarterly.</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Sector Portfolio Reporting.</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shall provide the Sector LP with: (a) a sector-specific portfolio report within forty-five (45) days of each quarter-end; (b) sector market mapping and competitive landscape updates semi-annually; (c) detailed Portfolio Company KPIs for Sector investments quarterly; and (d) the right to request, no more than once per year, a bespoke sector analysis from the investment team.</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Follow-On Priority.</w:t>
      </w:r>
    </w:p>
    <w:p>
      <w:pPr>
        <w:spacing w:after="60" w:before="60" w:line="300"/>
        <w:jc w:val="left"/>
      </w:pPr>
      <w:r>
        <w:rPr>
          <w:rFonts w:ascii="Arial" w:cs="Arial" w:eastAsia="Arial" w:hAnsi="Arial"/>
          <w:b w:val="false"/>
          <w:bCs w:val="false"/>
          <w:i w:val="false"/>
          <w:iCs w:val="false"/>
          <w:caps w:val="false"/>
          <w:color w:val="3A3A3A"/>
          <w:sz w:val="20"/>
          <w:szCs w:val="20"/>
        </w:rPr>
        <w:t xml:space="preserve">The Sector LP shall have a priority right (but not obligation) to participate in Follow-On Investments in Sector Portfolio Companies in proportion to its existing stake, subject to the terms of Article III of the SPV Operating Agreement.</w:t>
      </w:r>
    </w:p>
    <w:p>
      <w:pPr>
        <w:spacing w:after="60" w:before="180" w:line="276"/>
        <w:jc w:val="left"/>
      </w:pPr>
      <w:r>
        <w:rPr>
          <w:rFonts w:ascii="Arial" w:cs="Arial" w:eastAsia="Arial" w:hAnsi="Arial"/>
          <w:b/>
          <w:bCs/>
          <w:i w:val="false"/>
          <w:iCs w:val="false"/>
          <w:caps w:val="false"/>
          <w:color w:val="1A2E4A"/>
          <w:sz w:val="20"/>
          <w:szCs w:val="20"/>
        </w:rPr>
        <w:t xml:space="preserve">3.4  </w:t>
      </w:r>
      <w:r>
        <w:rPr>
          <w:rFonts w:ascii="Arial" w:cs="Arial" w:eastAsia="Arial" w:hAnsi="Arial"/>
          <w:b/>
          <w:bCs/>
          <w:i w:val="false"/>
          <w:iCs w:val="false"/>
          <w:caps w:val="false"/>
          <w:color w:val="5A5A5A"/>
          <w:sz w:val="20"/>
          <w:szCs w:val="20"/>
        </w:rPr>
        <w:t xml:space="preserve">Strategic Introduction Rights.</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shall use commercially reasonable efforts to facilitate strategic introductions between the Sector LP and Portfolio Companies operating in the Sector, subject to: (a) the consent of the relevant Portfolio Company; (b) applicable confidentiality obligations; and (c) any conflicts of interest policy of the General Partner.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INVESTMENT PERIOD AND CONCENTRATION LIMITS</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Sector Investment Period.</w:t>
      </w:r>
    </w:p>
    <w:p>
      <w:pPr>
        <w:spacing w:after="60" w:before="60" w:line="300"/>
        <w:jc w:val="left"/>
      </w:pPr>
      <w:r>
        <w:rPr>
          <w:rFonts w:ascii="Arial" w:cs="Arial" w:eastAsia="Arial" w:hAnsi="Arial"/>
          <w:b w:val="false"/>
          <w:bCs w:val="false"/>
          <w:i w:val="false"/>
          <w:iCs w:val="false"/>
          <w:caps w:val="false"/>
          <w:color w:val="3A3A3A"/>
          <w:sz w:val="20"/>
          <w:szCs w:val="20"/>
        </w:rPr>
        <w:t xml:space="preserve">The Focused SPV's investment period shall be coterminous with the Master Fund's Investment Period. Following the expiration of the Investment Period, the General Partner may make Follow-On Investments in existing Sector Portfolio Companies only.</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Concentration Limits.</w:t>
      </w:r>
    </w:p>
    <w:p>
      <w:pPr>
        <w:spacing w:after="60" w:before="60" w:line="300"/>
        <w:jc w:val="left"/>
      </w:pPr>
      <w:r>
        <w:rPr>
          <w:rFonts w:ascii="Arial" w:cs="Arial" w:eastAsia="Arial" w:hAnsi="Arial"/>
          <w:b w:val="false"/>
          <w:bCs w:val="false"/>
          <w:i w:val="false"/>
          <w:iCs w:val="false"/>
          <w:caps w:val="false"/>
          <w:color w:val="3A3A3A"/>
          <w:sz w:val="20"/>
          <w:szCs w:val="20"/>
        </w:rPr>
        <w:t xml:space="preserve">No single Sector Portfolio Company shall represent more than [25%] of the Focused SPV's total Committed Capital at the time of investment, without the Sector LP's written consent. The General Partner shall maintain a portfolio of at least [five (5)] Sector investments to promote diversification within the Sector.</w:t>
      </w:r>
    </w:p>
    <w:p>
      <w:pPr>
        <w:spacing w:after="60" w:before="180" w:line="276"/>
        <w:jc w:val="left"/>
      </w:pPr>
      <w:r>
        <w:rPr>
          <w:rFonts w:ascii="Arial" w:cs="Arial" w:eastAsia="Arial" w:hAnsi="Arial"/>
          <w:b/>
          <w:bCs/>
          <w:i w:val="false"/>
          <w:iCs w:val="false"/>
          <w:caps w:val="false"/>
          <w:color w:val="1A2E4A"/>
          <w:sz w:val="20"/>
          <w:szCs w:val="20"/>
        </w:rPr>
        <w:t xml:space="preserve">4.3  </w:t>
      </w:r>
      <w:r>
        <w:rPr>
          <w:rFonts w:ascii="Arial" w:cs="Arial" w:eastAsia="Arial" w:hAnsi="Arial"/>
          <w:b/>
          <w:bCs/>
          <w:i w:val="false"/>
          <w:iCs w:val="false"/>
          <w:caps w:val="false"/>
          <w:color w:val="5A5A5A"/>
          <w:sz w:val="20"/>
          <w:szCs w:val="20"/>
        </w:rPr>
        <w:t xml:space="preserve">Geographic Allocation.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Unless otherwise agreed, the Focused SPV shall invest globally, with a primary focus on companies headquartered or with primary operations in North America and Europe. The General Partner shall notify the Sector LP of any investment in which the primary market is outside these geographies.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KEY PERSON AND SECTOR TEAM</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Sector Key Person.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shall designate at least one (1) individual from its investment team with primary responsibility for the Sector (the "Sector Lead"). The Sector LP shall be notified promptly if the Sector Lead ceases to dedicate a majority of their time to Sector investments, and the General Partner shall use commercially reasonable efforts to appoint a replacement within sixty (60) days.</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Key Person Suspension.</w:t>
      </w:r>
    </w:p>
    <w:p>
      <w:pPr>
        <w:spacing w:after="60" w:before="60" w:line="300"/>
        <w:jc w:val="left"/>
      </w:pPr>
      <w:r>
        <w:rPr>
          <w:rFonts w:ascii="Arial" w:cs="Arial" w:eastAsia="Arial" w:hAnsi="Arial"/>
          <w:b w:val="false"/>
          <w:bCs w:val="false"/>
          <w:i w:val="false"/>
          <w:iCs w:val="false"/>
          <w:caps w:val="false"/>
          <w:color w:val="3A3A3A"/>
          <w:sz w:val="20"/>
          <w:szCs w:val="20"/>
        </w:rPr>
        <w:t xml:space="preserve">If the Sector Lead departs and no replacement is appointed within sixty (60) days, the Sector LP may, upon thirty (30) days' written notice, elect to suspend further capital calls to the Focused SPV until a replacement Sector Lead is appointed or approved by the Sector LP.</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w:t>
      </w:r>
      <w:r>
        <w:rPr>
          <w:rFonts w:ascii="Arial" w:cs="Arial" w:eastAsia="Arial" w:hAnsi="Arial"/>
          <w:b/>
          <w:bCs/>
          <w:i w:val="false"/>
          <w:iCs w:val="false"/>
          <w:caps w:val="false"/>
          <w:color w:val="1A2E4A"/>
          <w:sz w:val="22"/>
          <w:szCs w:val="22"/>
        </w:rPr>
        <w:t xml:space="preserve">    GENERAL PROVISIONS</w:t>
      </w:r>
    </w:p>
    <w:p>
      <w:pPr>
        <w:spacing w:after="60" w:before="180" w:line="276"/>
        <w:jc w:val="left"/>
      </w:pPr>
      <w:r>
        <w:rPr>
          <w:rFonts w:ascii="Arial" w:cs="Arial" w:eastAsia="Arial" w:hAnsi="Arial"/>
          <w:b/>
          <w:bCs/>
          <w:i w:val="false"/>
          <w:iCs w:val="false"/>
          <w:caps w:val="false"/>
          <w:color w:val="1A2E4A"/>
          <w:sz w:val="20"/>
          <w:szCs w:val="20"/>
        </w:rPr>
        <w:t xml:space="preserve">6.1  </w:t>
      </w:r>
      <w:r>
        <w:rPr>
          <w:rFonts w:ascii="Arial" w:cs="Arial" w:eastAsia="Arial" w:hAnsi="Arial"/>
          <w:b/>
          <w:bCs/>
          <w:i w:val="false"/>
          <w:iCs w:val="false"/>
          <w:caps w:val="false"/>
          <w:color w:val="5A5A5A"/>
          <w:sz w:val="20"/>
          <w:szCs w:val="20"/>
        </w:rPr>
        <w:t xml:space="preserve">MFN.</w:t>
      </w:r>
    </w:p>
    <w:p>
      <w:pPr>
        <w:spacing w:after="60" w:before="60" w:line="300"/>
        <w:jc w:val="left"/>
      </w:pPr>
      <w:r>
        <w:rPr>
          <w:rFonts w:ascii="Arial" w:cs="Arial" w:eastAsia="Arial" w:hAnsi="Arial"/>
          <w:b w:val="false"/>
          <w:bCs w:val="false"/>
          <w:i w:val="false"/>
          <w:iCs w:val="false"/>
          <w:caps w:val="false"/>
          <w:color w:val="3A3A3A"/>
          <w:sz w:val="20"/>
          <w:szCs w:val="20"/>
        </w:rPr>
        <w:t xml:space="preserve">The Sector LP shall have the benefit of the MFN provisions described in the Co-Investment Side Letter template, applied to other Sector LPs investing in the Focused SPV.</w:t>
      </w:r>
    </w:p>
    <w:p>
      <w:pPr>
        <w:spacing w:after="60" w:before="180" w:line="276"/>
        <w:jc w:val="left"/>
      </w:pPr>
      <w:r>
        <w:rPr>
          <w:rFonts w:ascii="Arial" w:cs="Arial" w:eastAsia="Arial" w:hAnsi="Arial"/>
          <w:b/>
          <w:bCs/>
          <w:i w:val="false"/>
          <w:iCs w:val="false"/>
          <w:caps w:val="false"/>
          <w:color w:val="1A2E4A"/>
          <w:sz w:val="20"/>
          <w:szCs w:val="20"/>
        </w:rPr>
        <w:t xml:space="preserve">6.2  </w:t>
      </w:r>
      <w:r>
        <w:rPr>
          <w:rFonts w:ascii="Arial" w:cs="Arial" w:eastAsia="Arial" w:hAnsi="Arial"/>
          <w:b/>
          <w:bCs/>
          <w:i w:val="false"/>
          <w:iCs w:val="false"/>
          <w:caps w:val="false"/>
          <w:color w:val="5A5A5A"/>
          <w:sz w:val="20"/>
          <w:szCs w:val="20"/>
        </w:rPr>
        <w:t xml:space="preserve">Conflict with LPA.</w:t>
      </w:r>
    </w:p>
    <w:p>
      <w:pPr>
        <w:spacing w:after="60" w:before="60" w:line="300"/>
        <w:jc w:val="left"/>
      </w:pPr>
      <w:r>
        <w:rPr>
          <w:rFonts w:ascii="Arial" w:cs="Arial" w:eastAsia="Arial" w:hAnsi="Arial"/>
          <w:b w:val="false"/>
          <w:bCs w:val="false"/>
          <w:i w:val="false"/>
          <w:iCs w:val="false"/>
          <w:caps w:val="false"/>
          <w:color w:val="3A3A3A"/>
          <w:sz w:val="20"/>
          <w:szCs w:val="20"/>
        </w:rPr>
        <w:t xml:space="preserve">This Letter supplements the LPA and Focused SPV Operating Agreement. In the event of any conflict, this Letter shall govern with respect to the Sector LP's rights.</w:t>
      </w:r>
    </w:p>
    <w:p>
      <w:pPr>
        <w:spacing w:after="60" w:before="180" w:line="276"/>
        <w:jc w:val="left"/>
      </w:pPr>
      <w:r>
        <w:rPr>
          <w:rFonts w:ascii="Arial" w:cs="Arial" w:eastAsia="Arial" w:hAnsi="Arial"/>
          <w:b/>
          <w:bCs/>
          <w:i w:val="false"/>
          <w:iCs w:val="false"/>
          <w:caps w:val="false"/>
          <w:color w:val="1A2E4A"/>
          <w:sz w:val="20"/>
          <w:szCs w:val="20"/>
        </w:rPr>
        <w:t xml:space="preserve">6.3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This Letter shall be governed by the laws of the State of Delaware.</w:t>
      </w:r>
    </w:p>
    <w:p>
      <w:pPr>
        <w:spacing w:after="60" w:before="180" w:line="276"/>
        <w:jc w:val="left"/>
      </w:pPr>
      <w:r>
        <w:rPr>
          <w:rFonts w:ascii="Arial" w:cs="Arial" w:eastAsia="Arial" w:hAnsi="Arial"/>
          <w:b/>
          <w:bCs/>
          <w:i w:val="false"/>
          <w:iCs w:val="false"/>
          <w:caps w:val="false"/>
          <w:color w:val="1A2E4A"/>
          <w:sz w:val="20"/>
          <w:szCs w:val="20"/>
        </w:rPr>
        <w:t xml:space="preserve">6.4  </w:t>
      </w:r>
      <w:r>
        <w:rPr>
          <w:rFonts w:ascii="Arial" w:cs="Arial" w:eastAsia="Arial" w:hAnsi="Arial"/>
          <w:b/>
          <w:bCs/>
          <w:i w:val="false"/>
          <w:iCs w:val="false"/>
          <w:caps w:val="false"/>
          <w:color w:val="5A5A5A"/>
          <w:sz w:val="20"/>
          <w:szCs w:val="20"/>
        </w:rPr>
        <w:t xml:space="preserve">Confidentiality.</w:t>
      </w:r>
    </w:p>
    <w:p>
      <w:pPr>
        <w:spacing w:after="60" w:before="60" w:line="300"/>
        <w:jc w:val="left"/>
      </w:pPr>
      <w:r>
        <w:rPr>
          <w:rFonts w:ascii="Arial" w:cs="Arial" w:eastAsia="Arial" w:hAnsi="Arial"/>
          <w:b w:val="false"/>
          <w:bCs w:val="false"/>
          <w:i w:val="false"/>
          <w:iCs w:val="false"/>
          <w:caps w:val="false"/>
          <w:color w:val="3A3A3A"/>
          <w:sz w:val="20"/>
          <w:szCs w:val="20"/>
        </w:rPr>
        <w:t xml:space="preserve">The terms of this Letter are confidential and shall not be disclosed to any third party without the written consent of both parties.</w:t>
      </w:r>
    </w:p>
    <w:p>
      <w:pPr>
        <w:spacing w:after="60" w:before="180" w:line="276"/>
        <w:jc w:val="left"/>
      </w:pPr>
      <w:r>
        <w:rPr>
          <w:rFonts w:ascii="Arial" w:cs="Arial" w:eastAsia="Arial" w:hAnsi="Arial"/>
          <w:b/>
          <w:bCs/>
          <w:i w:val="false"/>
          <w:iCs w:val="false"/>
          <w:caps w:val="false"/>
          <w:color w:val="1A2E4A"/>
          <w:sz w:val="20"/>
          <w:szCs w:val="20"/>
        </w:rPr>
        <w:t xml:space="preserve">6.5  </w:t>
      </w:r>
      <w:r>
        <w:rPr>
          <w:rFonts w:ascii="Arial" w:cs="Arial" w:eastAsia="Arial" w:hAnsi="Arial"/>
          <w:b/>
          <w:bCs/>
          <w:i w:val="false"/>
          <w:iCs w:val="false"/>
          <w:caps w:val="false"/>
          <w:color w:val="5A5A5A"/>
          <w:sz w:val="20"/>
          <w:szCs w:val="20"/>
        </w:rPr>
        <w:t xml:space="preserve">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This Letter shall terminate on the earlier of: (a) the winding up of the Focused SPV; (b) the Sector LP ceasing to hold any interest in the Focused SPV; or (c) mutual written agreement.</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GENERAL PARTNER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GP, LLC</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SECTOR LP</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Sector LP]</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Strategic Side Letter / Focused SPV (Sector LP)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2026-05-01T19:17:39.040Z</dcterms:created>
  <dcterms:modified xsi:type="dcterms:W3CDTF">2026-05-01T19:17:39.040Z</dcterms:modified>
</cp:coreProperties>
</file>

<file path=docProps/custom.xml><?xml version="1.0" encoding="utf-8"?>
<Properties xmlns="http://schemas.openxmlformats.org/officeDocument/2006/custom-properties" xmlns:vt="http://schemas.openxmlformats.org/officeDocument/2006/docPropsVTypes"/>
</file>