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M&amp;A Advisory Mandate</w:t>
      </w:r>
    </w:p>
    <w:p>
      <w:pPr>
        <w:spacing w:after="300" w:before="0"/>
        <w:jc w:val="center"/>
      </w:pPr>
      <w:r>
        <w:rPr>
          <w:rFonts w:ascii="Arial" w:cs="Arial" w:eastAsia="Arial" w:hAnsi="Arial"/>
          <w:b w:val="false"/>
          <w:bCs w:val="false"/>
          <w:i/>
          <w:iCs/>
          <w:caps w:val="false"/>
          <w:color w:val="5A5A5A"/>
          <w:sz w:val="22"/>
          <w:szCs w:val="22"/>
        </w:rPr>
        <w:t xml:space="preserve">Exclusive Financial Advisory Engagement</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Advisor</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Management Company, LLC, a Delaware limited liability company (the "Advisor")</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Client</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[CLIENT FULL LEGAL NAME] (the "Client")</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Mandate Type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Buy-Side  ☐ Sell-Side  ☐ Capital Raise  ☐ Strategic Review</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Retainer</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 per month</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Success Fee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of Transaction Value (Lehman-based scale in Schedule A)</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Exclusivity</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[12] months from the Effective Date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Tail Period</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[18] months following termination</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M&amp;A ADVISORY MANDATE LETTER</w:t>
      </w:r>
    </w:p>
    <w:p>
      <w:pPr>
        <w:spacing w:after="60" w:before="60" w:line="300"/>
        <w:jc w:val="left"/>
      </w:pPr>
      <w:r>
        <w:rPr>
          <w:rFonts w:ascii="Arial" w:cs="Arial" w:eastAsia="Arial" w:hAnsi="Arial"/>
          <w:b w:val="false"/>
          <w:bCs w:val="false"/>
          <w:i w:val="false"/>
          <w:iCs w:val="false"/>
          <w:caps w:val="false"/>
          <w:color w:val="3A3A3A"/>
          <w:sz w:val="20"/>
          <w:szCs w:val="20"/>
        </w:rPr>
        <w:t xml:space="preserve">This M&amp;A Advisory Mandate Letter (this "Mandate") is entered into as of [DATE] (the "Effective Date") between StudioOS AI Management Company, LLC, a Delaware limited liability company (the "Advisor"), and [CLIENT FULL LEGAL NAME] (the "Client"). This Mandate sets out the terms on which the Advisor agrees to provide financial advisory services to the Client in connection with the Transaction (as defined below).</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ENGAGEMENT AND SCOPE</w:t>
      </w:r>
    </w:p>
    <w:p>
      <w:pPr>
        <w:spacing w:after="60" w:before="180" w:line="276"/>
        <w:jc w:val="left"/>
      </w:pPr>
      <w:r>
        <w:rPr>
          <w:rFonts w:ascii="Arial" w:cs="Arial" w:eastAsia="Arial" w:hAnsi="Arial"/>
          <w:b/>
          <w:bCs/>
          <w:i w:val="false"/>
          <w:iCs w:val="false"/>
          <w:caps w:val="false"/>
          <w:color w:val="1A2E4A"/>
          <w:sz w:val="20"/>
          <w:szCs w:val="20"/>
        </w:rPr>
        <w:t xml:space="preserve">1.1  </w:t>
      </w:r>
      <w:r>
        <w:rPr>
          <w:rFonts w:ascii="Arial" w:cs="Arial" w:eastAsia="Arial" w:hAnsi="Arial"/>
          <w:b/>
          <w:bCs/>
          <w:i w:val="false"/>
          <w:iCs w:val="false"/>
          <w:caps w:val="false"/>
          <w:color w:val="5A5A5A"/>
          <w:sz w:val="20"/>
          <w:szCs w:val="20"/>
        </w:rPr>
        <w:t xml:space="preserve">Mandate.</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hereby engages the Advisor on an exclusive basis to act as its sole financial advisor in connection with: ☐ (a) a sale of the Client or a material portion of its assets or equity ("Sell-Side"); ☐ (b) an acquisition of a target company or material assets by the Client ("Buy-Side"); ☐ (c) a capital raise by the Client (debt, equity, or hybrid) ("Capital Raise"); ☐ (d) a strategic review of the Client's options ("Strategic Review"). The specific transaction type(s) mandated are indicated above and described in Schedule B.</w:t>
      </w:r>
    </w:p>
    <w:p>
      <w:pPr>
        <w:spacing w:after="60" w:before="180" w:line="276"/>
        <w:jc w:val="left"/>
      </w:pPr>
      <w:r>
        <w:rPr>
          <w:rFonts w:ascii="Arial" w:cs="Arial" w:eastAsia="Arial" w:hAnsi="Arial"/>
          <w:b/>
          <w:bCs/>
          <w:i w:val="false"/>
          <w:iCs w:val="false"/>
          <w:caps w:val="false"/>
          <w:color w:val="1A2E4A"/>
          <w:sz w:val="20"/>
          <w:szCs w:val="20"/>
        </w:rPr>
        <w:t xml:space="preserve">1.2  </w:t>
      </w:r>
      <w:r>
        <w:rPr>
          <w:rFonts w:ascii="Arial" w:cs="Arial" w:eastAsia="Arial" w:hAnsi="Arial"/>
          <w:b/>
          <w:bCs/>
          <w:i w:val="false"/>
          <w:iCs w:val="false"/>
          <w:caps w:val="false"/>
          <w:color w:val="5A5A5A"/>
          <w:sz w:val="20"/>
          <w:szCs w:val="20"/>
        </w:rPr>
        <w:t xml:space="preserve">Services.</w:t>
      </w:r>
    </w:p>
    <w:p>
      <w:pPr>
        <w:spacing w:after="60" w:before="60" w:line="300"/>
        <w:jc w:val="left"/>
      </w:pPr>
      <w:r>
        <w:rPr>
          <w:rFonts w:ascii="Arial" w:cs="Arial" w:eastAsia="Arial" w:hAnsi="Arial"/>
          <w:b w:val="false"/>
          <w:bCs w:val="false"/>
          <w:i w:val="false"/>
          <w:iCs w:val="false"/>
          <w:caps w:val="false"/>
          <w:color w:val="3A3A3A"/>
          <w:sz w:val="20"/>
          <w:szCs w:val="20"/>
        </w:rPr>
        <w:t xml:space="preserve">In connection with the Mandate, Advisor shall provide the following services (the "Services"):
(a) Review and analysis of the Client's financial condition, business model, and strategic position.
(b) Development of positioning materials, including an Information Memorandum or Confidential Investment Teaser.
(c) Identification and outreach to potential counterparties (acquirers, acquirees, investors, or lenders), drawing on Advisor's network and the StudioOS ecosystem.
(d) Coordination of due diligence processes and data room management.
(e) Preparation of financial models, valuation analyses (DCF, comparable transactions, precedent transactions), and fairness opinions if required.
(f) Negotiation support and transaction structuring advice.
(g) Coordination with Client's legal, tax, and accounting advisors.
(h) Assistance through signing and closing.</w:t>
      </w:r>
    </w:p>
    <w:p>
      <w:pPr>
        <w:spacing w:after="60" w:before="180" w:line="276"/>
        <w:jc w:val="left"/>
      </w:pPr>
      <w:r>
        <w:rPr>
          <w:rFonts w:ascii="Arial" w:cs="Arial" w:eastAsia="Arial" w:hAnsi="Arial"/>
          <w:b/>
          <w:bCs/>
          <w:i w:val="false"/>
          <w:iCs w:val="false"/>
          <w:caps w:val="false"/>
          <w:color w:val="1A2E4A"/>
          <w:sz w:val="20"/>
          <w:szCs w:val="20"/>
        </w:rPr>
        <w:t xml:space="preserve">1.3  </w:t>
      </w:r>
      <w:r>
        <w:rPr>
          <w:rFonts w:ascii="Arial" w:cs="Arial" w:eastAsia="Arial" w:hAnsi="Arial"/>
          <w:b/>
          <w:bCs/>
          <w:i w:val="false"/>
          <w:iCs w:val="false"/>
          <w:caps w:val="false"/>
          <w:color w:val="5A5A5A"/>
          <w:sz w:val="20"/>
          <w:szCs w:val="20"/>
        </w:rPr>
        <w:t xml:space="preserve">Client Cooperation.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shall: (a) provide Advisor with all information, documents, and data reasonably requested; (b) ensure prompt access to management for meetings and diligence; (c) notify Advisor immediately of any direct approaches from potential counterparties; and (d) not engage any other financial advisor in connection with the Transaction during the Exclusivity Period without Advisor's written consent.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EXCLUSIVITY</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Exclusive Engagement.</w:t>
      </w:r>
    </w:p>
    <w:p>
      <w:pPr>
        <w:spacing w:after="60" w:before="60" w:line="300"/>
        <w:jc w:val="left"/>
      </w:pPr>
      <w:r>
        <w:rPr>
          <w:rFonts w:ascii="Arial" w:cs="Arial" w:eastAsia="Arial" w:hAnsi="Arial"/>
          <w:b w:val="false"/>
          <w:bCs w:val="false"/>
          <w:i w:val="false"/>
          <w:iCs w:val="false"/>
          <w:caps w:val="false"/>
          <w:color w:val="3A3A3A"/>
          <w:sz w:val="20"/>
          <w:szCs w:val="20"/>
        </w:rPr>
        <w:t xml:space="preserve">During the Exclusivity Period (defined as [twelve (12)] months from the Effective Date, subject to extension by mutual written agreement), the Client shall not engage any other financial advisor, investment bank, or intermediary to provide services similar to the Services. All approaches from potential counterparties received directly by the Client shall be immediately referred to Advisor.</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Exceptions.</w:t>
      </w:r>
    </w:p>
    <w:p>
      <w:pPr>
        <w:spacing w:after="60" w:before="60" w:line="300"/>
        <w:jc w:val="left"/>
      </w:pPr>
      <w:r>
        <w:rPr>
          <w:rFonts w:ascii="Arial" w:cs="Arial" w:eastAsia="Arial" w:hAnsi="Arial"/>
          <w:b w:val="false"/>
          <w:bCs w:val="false"/>
          <w:i w:val="false"/>
          <w:iCs w:val="false"/>
          <w:caps w:val="false"/>
          <w:color w:val="3A3A3A"/>
          <w:sz w:val="20"/>
          <w:szCs w:val="20"/>
        </w:rPr>
        <w:t xml:space="preserve">The exclusivity obligation shall not prevent the Client from engaging legal counsel, auditors, or tax advisors. Any engagement of a second financial advisor for a materially different mandate (e.g., debt financing for a sell-side mandate) requires Advisor's written consent.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FEES AND EXPENSES</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Retainer.</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shall pay Advisor a monthly retainer of USD [___,000] (the "Retainer"), payable in advance on the first Business Day of each month, commencing on the Effective Date. The Retainer shall be credited against the Success Fee payable in respect of the first Transaction to close, up to a maximum credit of [___]% of the total Retainer paid.</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Success Fee.</w:t>
      </w:r>
    </w:p>
    <w:p>
      <w:pPr>
        <w:spacing w:after="60" w:before="60" w:line="300"/>
        <w:jc w:val="left"/>
      </w:pPr>
      <w:r>
        <w:rPr>
          <w:rFonts w:ascii="Arial" w:cs="Arial" w:eastAsia="Arial" w:hAnsi="Arial"/>
          <w:b w:val="false"/>
          <w:bCs w:val="false"/>
          <w:i w:val="false"/>
          <w:iCs w:val="false"/>
          <w:caps w:val="false"/>
          <w:color w:val="3A3A3A"/>
          <w:sz w:val="20"/>
          <w:szCs w:val="20"/>
        </w:rPr>
        <w:t xml:space="preserve">(a) Upon the closing of a Transaction, the Client shall pay Advisor a success fee ("Success Fee") calculated as set forth in Schedule A.
(b) The Success Fee shall be calculated on the Transaction Value, defined as: (i) for acquisitions, the total consideration paid including assumed liabilities, earn-outs at fair value, and any non-cash consideration at fair market value; (ii) for disposals, the total consideration received including deferred and contingent consideration at fair value; (iii) for capital raises, the total gross proceeds raised.
(c) The Success Fee shall be payable upon the earlier of: (i) closing of the Transaction; or (ii) receipt by the Client of any binding committed consideration from a counterparty.</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Minimum Fee.</w:t>
      </w:r>
    </w:p>
    <w:p>
      <w:pPr>
        <w:spacing w:after="60" w:before="60" w:line="300"/>
        <w:jc w:val="left"/>
      </w:pPr>
      <w:r>
        <w:rPr>
          <w:rFonts w:ascii="Arial" w:cs="Arial" w:eastAsia="Arial" w:hAnsi="Arial"/>
          <w:b w:val="false"/>
          <w:bCs w:val="false"/>
          <w:i w:val="false"/>
          <w:iCs w:val="false"/>
          <w:caps w:val="false"/>
          <w:color w:val="3A3A3A"/>
          <w:sz w:val="20"/>
          <w:szCs w:val="20"/>
        </w:rPr>
        <w:t xml:space="preserve">Notwithstanding Schedule A, the minimum Success Fee payable in respect of any Transaction shall be USD [___,000].</w:t>
      </w:r>
    </w:p>
    <w:p>
      <w:pPr>
        <w:spacing w:after="60" w:before="180" w:line="276"/>
        <w:jc w:val="left"/>
      </w:pPr>
      <w:r>
        <w:rPr>
          <w:rFonts w:ascii="Arial" w:cs="Arial" w:eastAsia="Arial" w:hAnsi="Arial"/>
          <w:b/>
          <w:bCs/>
          <w:i w:val="false"/>
          <w:iCs w:val="false"/>
          <w:caps w:val="false"/>
          <w:color w:val="1A2E4A"/>
          <w:sz w:val="20"/>
          <w:szCs w:val="20"/>
        </w:rPr>
        <w:t xml:space="preserve">3.4  </w:t>
      </w:r>
      <w:r>
        <w:rPr>
          <w:rFonts w:ascii="Arial" w:cs="Arial" w:eastAsia="Arial" w:hAnsi="Arial"/>
          <w:b/>
          <w:bCs/>
          <w:i w:val="false"/>
          <w:iCs w:val="false"/>
          <w:caps w:val="false"/>
          <w:color w:val="5A5A5A"/>
          <w:sz w:val="20"/>
          <w:szCs w:val="20"/>
        </w:rPr>
        <w:t xml:space="preserve">Tail Period.</w:t>
      </w:r>
    </w:p>
    <w:p>
      <w:pPr>
        <w:spacing w:after="60" w:before="60" w:line="300"/>
        <w:jc w:val="left"/>
      </w:pPr>
      <w:r>
        <w:rPr>
          <w:rFonts w:ascii="Arial" w:cs="Arial" w:eastAsia="Arial" w:hAnsi="Arial"/>
          <w:b w:val="false"/>
          <w:bCs w:val="false"/>
          <w:i w:val="false"/>
          <w:iCs w:val="false"/>
          <w:caps w:val="false"/>
          <w:color w:val="3A3A3A"/>
          <w:sz w:val="20"/>
          <w:szCs w:val="20"/>
        </w:rPr>
        <w:t xml:space="preserve">If this Mandate is terminated (other than by Client for Advisor's material uncured breach), the Success Fee shall remain payable in respect of any Transaction that closes within [eighteen (18)] months of termination with any counterparty that was: (a) introduced to the Client by Advisor; (b) contacted by or on behalf of the Client during the Exclusivity Period; or (c) identified in Advisor's written list of target counterparties delivered to the Client prior to termination (the "Tail Period").</w:t>
      </w:r>
    </w:p>
    <w:p>
      <w:pPr>
        <w:spacing w:after="60" w:before="180" w:line="276"/>
        <w:jc w:val="left"/>
      </w:pPr>
      <w:r>
        <w:rPr>
          <w:rFonts w:ascii="Arial" w:cs="Arial" w:eastAsia="Arial" w:hAnsi="Arial"/>
          <w:b/>
          <w:bCs/>
          <w:i w:val="false"/>
          <w:iCs w:val="false"/>
          <w:caps w:val="false"/>
          <w:color w:val="1A2E4A"/>
          <w:sz w:val="20"/>
          <w:szCs w:val="20"/>
        </w:rPr>
        <w:t xml:space="preserve">3.5  </w:t>
      </w:r>
      <w:r>
        <w:rPr>
          <w:rFonts w:ascii="Arial" w:cs="Arial" w:eastAsia="Arial" w:hAnsi="Arial"/>
          <w:b/>
          <w:bCs/>
          <w:i w:val="false"/>
          <w:iCs w:val="false"/>
          <w:caps w:val="false"/>
          <w:color w:val="5A5A5A"/>
          <w:sz w:val="20"/>
          <w:szCs w:val="20"/>
        </w:rPr>
        <w:t xml:space="preserve">Expenses.</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shall reimburse Advisor for all reasonable out-of-pocket expenses incurred in connection with the Services (including travel, legal, data room, and research costs) upon presentation of supporting documentation. Expenses in excess of USD [___,000] in any calendar month shall require prior written approval from the Client.</w:t>
      </w:r>
    </w:p>
    <w:p>
      <w:pPr>
        <w:spacing w:after="60" w:before="180" w:line="276"/>
        <w:jc w:val="left"/>
      </w:pPr>
      <w:r>
        <w:rPr>
          <w:rFonts w:ascii="Arial" w:cs="Arial" w:eastAsia="Arial" w:hAnsi="Arial"/>
          <w:b/>
          <w:bCs/>
          <w:i w:val="false"/>
          <w:iCs w:val="false"/>
          <w:caps w:val="false"/>
          <w:color w:val="1A2E4A"/>
          <w:sz w:val="20"/>
          <w:szCs w:val="20"/>
        </w:rPr>
        <w:t xml:space="preserve">3.6  </w:t>
      </w:r>
      <w:r>
        <w:rPr>
          <w:rFonts w:ascii="Arial" w:cs="Arial" w:eastAsia="Arial" w:hAnsi="Arial"/>
          <w:b/>
          <w:bCs/>
          <w:i w:val="false"/>
          <w:iCs w:val="false"/>
          <w:caps w:val="false"/>
          <w:color w:val="5A5A5A"/>
          <w:sz w:val="20"/>
          <w:szCs w:val="20"/>
        </w:rPr>
        <w:t xml:space="preserve">Fairness Opinion.</w:t>
      </w:r>
    </w:p>
    <w:p>
      <w:pPr>
        <w:spacing w:after="60" w:before="60" w:line="300"/>
        <w:jc w:val="left"/>
      </w:pPr>
      <w:r>
        <w:rPr>
          <w:rFonts w:ascii="Arial" w:cs="Arial" w:eastAsia="Arial" w:hAnsi="Arial"/>
          <w:b w:val="false"/>
          <w:bCs w:val="false"/>
          <w:i w:val="false"/>
          <w:iCs w:val="false"/>
          <w:caps w:val="false"/>
          <w:color w:val="3A3A3A"/>
          <w:sz w:val="20"/>
          <w:szCs w:val="20"/>
        </w:rPr>
        <w:t xml:space="preserve">If the Client requests a formal fairness opinion, an additional fee of USD [___,000] shall be payable upon delivery of such opinion, credited against the Success Fee.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CONFLICTS OF INTEREST</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Disclosure.</w:t>
      </w:r>
    </w:p>
    <w:p>
      <w:pPr>
        <w:spacing w:after="60" w:before="60" w:line="300"/>
        <w:jc w:val="left"/>
      </w:pPr>
      <w:r>
        <w:rPr>
          <w:rFonts w:ascii="Arial" w:cs="Arial" w:eastAsia="Arial" w:hAnsi="Arial"/>
          <w:b w:val="false"/>
          <w:bCs w:val="false"/>
          <w:i w:val="false"/>
          <w:iCs w:val="false"/>
          <w:caps w:val="false"/>
          <w:color w:val="3A3A3A"/>
          <w:sz w:val="20"/>
          <w:szCs w:val="20"/>
        </w:rPr>
        <w:t xml:space="preserve">Advisor shall disclose to the Client any material conflict of interest that arises during the engagement, including any situation where Advisor has a pre-existing relationship with a potential counterparty. Disclosure shall be made promptly and prior to any related advisory activity.</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Advisor's Other Activities.</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acknowledges that Advisor and its affiliates may have ongoing relationships with other companies and investors. Advisor shall maintain information barriers and shall not use Confidential Information for the benefit of any other client.</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No Conflict Waiver.</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acknowledges that Advisor's role as manager of StudioOS AI Venture Fund I, LP may result in situations where the Fund is a potential counterparty. In such cases, Advisor shall disclose the conflict and the Client shall have the right to engage independent advisors at Client's expense for the relevant transaction.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CONFIDENTIALITY</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Obligation.</w:t>
      </w:r>
    </w:p>
    <w:p>
      <w:pPr>
        <w:spacing w:after="60" w:before="60" w:line="300"/>
        <w:jc w:val="left"/>
      </w:pPr>
      <w:r>
        <w:rPr>
          <w:rFonts w:ascii="Arial" w:cs="Arial" w:eastAsia="Arial" w:hAnsi="Arial"/>
          <w:b w:val="false"/>
          <w:bCs w:val="false"/>
          <w:i w:val="false"/>
          <w:iCs w:val="false"/>
          <w:caps w:val="false"/>
          <w:color w:val="3A3A3A"/>
          <w:sz w:val="20"/>
          <w:szCs w:val="20"/>
        </w:rPr>
        <w:t xml:space="preserve">Advisor shall treat all information received from the Client as Confidential Information and shall not disclose it to any third party except: (a) with the Client's prior written consent; (b) to Advisor's employees, subcontractors, and advisors on a need-to-know basis under confidentiality obligations; or (c) as required by applicable law.</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NDAs.</w:t>
      </w:r>
    </w:p>
    <w:p>
      <w:pPr>
        <w:spacing w:after="60" w:before="60" w:line="300"/>
        <w:jc w:val="left"/>
      </w:pPr>
      <w:r>
        <w:rPr>
          <w:rFonts w:ascii="Arial" w:cs="Arial" w:eastAsia="Arial" w:hAnsi="Arial"/>
          <w:b w:val="false"/>
          <w:bCs w:val="false"/>
          <w:i w:val="false"/>
          <w:iCs w:val="false"/>
          <w:caps w:val="false"/>
          <w:color w:val="3A3A3A"/>
          <w:sz w:val="20"/>
          <w:szCs w:val="20"/>
        </w:rPr>
        <w:t xml:space="preserve">Before sharing Client's Confidential Information with any potential counterparty, Advisor shall obtain an executed non-disclosure agreement in a form approved by the Client.</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Survival.</w:t>
      </w:r>
    </w:p>
    <w:p>
      <w:pPr>
        <w:spacing w:after="60" w:before="60" w:line="300"/>
        <w:jc w:val="left"/>
      </w:pPr>
      <w:r>
        <w:rPr>
          <w:rFonts w:ascii="Arial" w:cs="Arial" w:eastAsia="Arial" w:hAnsi="Arial"/>
          <w:b w:val="false"/>
          <w:bCs w:val="false"/>
          <w:i w:val="false"/>
          <w:iCs w:val="false"/>
          <w:caps w:val="false"/>
          <w:color w:val="3A3A3A"/>
          <w:sz w:val="20"/>
          <w:szCs w:val="20"/>
        </w:rPr>
        <w:t xml:space="preserve">Confidentiality obligations shall survive for five (5) years following termination of this Mandate.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REPRESENTATIONS AND WARRANTIES</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Client Representations.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Client represents that: (a) all information provided to Advisor is accurate and not misleading in any material respect; (b) Client has the authority to enter into a Transaction; and (c) there are no pending legal proceedings that would materially affect Client's ability to close a Transaction.</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Advisor Representations.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Advisor represents that: (a) Advisor has the expertise to provide the Services; (b) Advisor is not subject to any regulatory prohibition on providing the Services; and (c) Advisor shall maintain appropriate professional indemnity insurance.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INDEMNIFICATION AND LIABILITY</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Client Indemnification.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The Client shall indemnify, defend, and hold harmless Advisor and its affiliates, members, employees, and agents from and against all losses, damages, liabilities, costs, and expenses (including reasonable attorneys' fees) arising from: (a) any breach by the Client of its representations or obligations; (b) any inaccuracy or omission in information provided to Advisor or counterparties; or (c) any third-party claims relating to the Transaction, other than those arising from Advisor's gross negligence or wilful misconduct.</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Limitation of Liability.</w:t>
      </w:r>
    </w:p>
    <w:p>
      <w:pPr>
        <w:spacing w:after="60" w:before="60" w:line="300"/>
        <w:jc w:val="left"/>
      </w:pPr>
      <w:r>
        <w:rPr>
          <w:rFonts w:ascii="Arial" w:cs="Arial" w:eastAsia="Arial" w:hAnsi="Arial"/>
          <w:b w:val="false"/>
          <w:bCs w:val="false"/>
          <w:i w:val="false"/>
          <w:iCs w:val="false"/>
          <w:caps w:val="false"/>
          <w:color w:val="3A3A3A"/>
          <w:sz w:val="20"/>
          <w:szCs w:val="20"/>
        </w:rPr>
        <w:t xml:space="preserve">Advisor's maximum aggregate liability to the Client shall not exceed the total Retainer payments actually received by Advisor in the [twelve (12)] months preceding the event giving rise to the claim. Advisor shall not be liable for indirect, incidental, special, or consequential damages.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TERM AND TERMINATION</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Term.</w:t>
      </w:r>
    </w:p>
    <w:p>
      <w:pPr>
        <w:spacing w:after="60" w:before="60" w:line="300"/>
        <w:jc w:val="left"/>
      </w:pPr>
      <w:r>
        <w:rPr>
          <w:rFonts w:ascii="Arial" w:cs="Arial" w:eastAsia="Arial" w:hAnsi="Arial"/>
          <w:b w:val="false"/>
          <w:bCs w:val="false"/>
          <w:i w:val="false"/>
          <w:iCs w:val="false"/>
          <w:caps w:val="false"/>
          <w:color w:val="3A3A3A"/>
          <w:sz w:val="20"/>
          <w:szCs w:val="20"/>
        </w:rPr>
        <w:t xml:space="preserve">This Mandate shall be effective from the Effective Date and shall continue for the Exclusivity Period, unless earlier terminated.</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Termination for Cause.</w:t>
      </w:r>
    </w:p>
    <w:p>
      <w:pPr>
        <w:spacing w:after="60" w:before="60" w:line="300"/>
        <w:jc w:val="left"/>
      </w:pPr>
      <w:r>
        <w:rPr>
          <w:rFonts w:ascii="Arial" w:cs="Arial" w:eastAsia="Arial" w:hAnsi="Arial"/>
          <w:b w:val="false"/>
          <w:bCs w:val="false"/>
          <w:i w:val="false"/>
          <w:iCs w:val="false"/>
          <w:caps w:val="false"/>
          <w:color w:val="3A3A3A"/>
          <w:sz w:val="20"/>
          <w:szCs w:val="20"/>
        </w:rPr>
        <w:t xml:space="preserve">Client may terminate for cause if Advisor materially breaches this Mandate and fails to cure within thirty (30) days of written notice. In such case, the Tail Period shall not apply.</w:t>
      </w:r>
    </w:p>
    <w:p>
      <w:pPr>
        <w:spacing w:after="60" w:before="180" w:line="276"/>
        <w:jc w:val="left"/>
      </w:pPr>
      <w:r>
        <w:rPr>
          <w:rFonts w:ascii="Arial" w:cs="Arial" w:eastAsia="Arial" w:hAnsi="Arial"/>
          <w:b/>
          <w:bCs/>
          <w:i w:val="false"/>
          <w:iCs w:val="false"/>
          <w:caps w:val="false"/>
          <w:color w:val="1A2E4A"/>
          <w:sz w:val="20"/>
          <w:szCs w:val="20"/>
        </w:rPr>
        <w:t xml:space="preserve">8.3  </w:t>
      </w:r>
      <w:r>
        <w:rPr>
          <w:rFonts w:ascii="Arial" w:cs="Arial" w:eastAsia="Arial" w:hAnsi="Arial"/>
          <w:b/>
          <w:bCs/>
          <w:i w:val="false"/>
          <w:iCs w:val="false"/>
          <w:caps w:val="false"/>
          <w:color w:val="5A5A5A"/>
          <w:sz w:val="20"/>
          <w:szCs w:val="20"/>
        </w:rPr>
        <w:t xml:space="preserve">Termination for Convenience.</w:t>
      </w:r>
    </w:p>
    <w:p>
      <w:pPr>
        <w:spacing w:after="60" w:before="60" w:line="300"/>
        <w:jc w:val="left"/>
      </w:pPr>
      <w:r>
        <w:rPr>
          <w:rFonts w:ascii="Arial" w:cs="Arial" w:eastAsia="Arial" w:hAnsi="Arial"/>
          <w:b w:val="false"/>
          <w:bCs w:val="false"/>
          <w:i w:val="false"/>
          <w:iCs w:val="false"/>
          <w:caps w:val="false"/>
          <w:color w:val="3A3A3A"/>
          <w:sz w:val="20"/>
          <w:szCs w:val="20"/>
        </w:rPr>
        <w:t xml:space="preserve">Client may terminate for convenience on thirty (30) days' written notice, subject to payment of all accrued Retainer and the Tail Period obligations.</w:t>
      </w:r>
    </w:p>
    <w:p>
      <w:pPr>
        <w:spacing w:after="60" w:before="180" w:line="276"/>
        <w:jc w:val="left"/>
      </w:pPr>
      <w:r>
        <w:rPr>
          <w:rFonts w:ascii="Arial" w:cs="Arial" w:eastAsia="Arial" w:hAnsi="Arial"/>
          <w:b/>
          <w:bCs/>
          <w:i w:val="false"/>
          <w:iCs w:val="false"/>
          <w:caps w:val="false"/>
          <w:color w:val="1A2E4A"/>
          <w:sz w:val="20"/>
          <w:szCs w:val="20"/>
        </w:rPr>
        <w:t xml:space="preserve">8.4  </w:t>
      </w:r>
      <w:r>
        <w:rPr>
          <w:rFonts w:ascii="Arial" w:cs="Arial" w:eastAsia="Arial" w:hAnsi="Arial"/>
          <w:b/>
          <w:bCs/>
          <w:i w:val="false"/>
          <w:iCs w:val="false"/>
          <w:caps w:val="false"/>
          <w:color w:val="5A5A5A"/>
          <w:sz w:val="20"/>
          <w:szCs w:val="20"/>
        </w:rPr>
        <w:t xml:space="preserve">Survival.</w:t>
      </w:r>
    </w:p>
    <w:p>
      <w:pPr>
        <w:spacing w:after="60" w:before="60" w:line="300"/>
        <w:jc w:val="left"/>
      </w:pPr>
      <w:r>
        <w:rPr>
          <w:rFonts w:ascii="Arial" w:cs="Arial" w:eastAsia="Arial" w:hAnsi="Arial"/>
          <w:b w:val="false"/>
          <w:bCs w:val="false"/>
          <w:i w:val="false"/>
          <w:iCs w:val="false"/>
          <w:caps w:val="false"/>
          <w:color w:val="3A3A3A"/>
          <w:sz w:val="20"/>
          <w:szCs w:val="20"/>
        </w:rPr>
        <w:t xml:space="preserve">Sections 3.2 (Success Fee), 3.4 (Tail Period), 5 (Confidentiality), and 7 (Indemnification) shall survive termination.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IX</w:t>
      </w:r>
      <w:r>
        <w:rPr>
          <w:rFonts w:ascii="Arial" w:cs="Arial" w:eastAsia="Arial" w:hAnsi="Arial"/>
          <w:b/>
          <w:bCs/>
          <w:i w:val="false"/>
          <w:iCs w:val="false"/>
          <w:caps w:val="false"/>
          <w:color w:val="1A2E4A"/>
          <w:sz w:val="22"/>
          <w:szCs w:val="22"/>
        </w:rPr>
        <w:t xml:space="preserve">    GENERAL PROVISIONS</w:t>
      </w:r>
    </w:p>
    <w:p>
      <w:pPr>
        <w:spacing w:after="60" w:before="180" w:line="276"/>
        <w:jc w:val="left"/>
      </w:pPr>
      <w:r>
        <w:rPr>
          <w:rFonts w:ascii="Arial" w:cs="Arial" w:eastAsia="Arial" w:hAnsi="Arial"/>
          <w:b/>
          <w:bCs/>
          <w:i w:val="false"/>
          <w:iCs w:val="false"/>
          <w:caps w:val="false"/>
          <w:color w:val="1A2E4A"/>
          <w:sz w:val="20"/>
          <w:szCs w:val="20"/>
        </w:rPr>
        <w:t xml:space="preserve">9.1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Delaware law.</w:t>
      </w:r>
    </w:p>
    <w:p>
      <w:pPr>
        <w:spacing w:after="60" w:before="180" w:line="276"/>
        <w:jc w:val="left"/>
      </w:pPr>
      <w:r>
        <w:rPr>
          <w:rFonts w:ascii="Arial" w:cs="Arial" w:eastAsia="Arial" w:hAnsi="Arial"/>
          <w:b/>
          <w:bCs/>
          <w:i w:val="false"/>
          <w:iCs w:val="false"/>
          <w:caps w:val="false"/>
          <w:color w:val="1A2E4A"/>
          <w:sz w:val="20"/>
          <w:szCs w:val="20"/>
        </w:rPr>
        <w:t xml:space="preserve">9.2  </w:t>
      </w:r>
      <w:r>
        <w:rPr>
          <w:rFonts w:ascii="Arial" w:cs="Arial" w:eastAsia="Arial" w:hAnsi="Arial"/>
          <w:b/>
          <w:bCs/>
          <w:i w:val="false"/>
          <w:iCs w:val="false"/>
          <w:caps w:val="false"/>
          <w:color w:val="5A5A5A"/>
          <w:sz w:val="20"/>
          <w:szCs w:val="20"/>
        </w:rPr>
        <w:t xml:space="preserve">Dispute Resolution.</w:t>
      </w:r>
    </w:p>
    <w:p>
      <w:pPr>
        <w:spacing w:after="60" w:before="60" w:line="300"/>
        <w:jc w:val="left"/>
      </w:pPr>
      <w:r>
        <w:rPr>
          <w:rFonts w:ascii="Arial" w:cs="Arial" w:eastAsia="Arial" w:hAnsi="Arial"/>
          <w:b w:val="false"/>
          <w:bCs w:val="false"/>
          <w:i w:val="false"/>
          <w:iCs w:val="false"/>
          <w:caps w:val="false"/>
          <w:color w:val="3A3A3A"/>
          <w:sz w:val="20"/>
          <w:szCs w:val="20"/>
        </w:rPr>
        <w:t xml:space="preserve">Binding arbitration in New York under the AAA Commercial Arbitration Rules.</w:t>
      </w:r>
    </w:p>
    <w:p>
      <w:pPr>
        <w:spacing w:after="60" w:before="180" w:line="276"/>
        <w:jc w:val="left"/>
      </w:pPr>
      <w:r>
        <w:rPr>
          <w:rFonts w:ascii="Arial" w:cs="Arial" w:eastAsia="Arial" w:hAnsi="Arial"/>
          <w:b/>
          <w:bCs/>
          <w:i w:val="false"/>
          <w:iCs w:val="false"/>
          <w:caps w:val="false"/>
          <w:color w:val="1A2E4A"/>
          <w:sz w:val="20"/>
          <w:szCs w:val="20"/>
        </w:rPr>
        <w:t xml:space="preserve">9.3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Mandate and Schedules are the entire agreement of the Parties with respect to the Services.</w:t>
      </w:r>
    </w:p>
    <w:p>
      <w:pPr>
        <w:spacing w:after="60" w:before="180" w:line="276"/>
        <w:jc w:val="left"/>
      </w:pPr>
      <w:r>
        <w:rPr>
          <w:rFonts w:ascii="Arial" w:cs="Arial" w:eastAsia="Arial" w:hAnsi="Arial"/>
          <w:b/>
          <w:bCs/>
          <w:i w:val="false"/>
          <w:iCs w:val="false"/>
          <w:caps w:val="false"/>
          <w:color w:val="1A2E4A"/>
          <w:sz w:val="20"/>
          <w:szCs w:val="20"/>
        </w:rPr>
        <w:t xml:space="preserve">9.4  </w:t>
      </w:r>
      <w:r>
        <w:rPr>
          <w:rFonts w:ascii="Arial" w:cs="Arial" w:eastAsia="Arial" w:hAnsi="Arial"/>
          <w:b/>
          <w:bCs/>
          <w:i w:val="false"/>
          <w:iCs w:val="false"/>
          <w:caps w:val="false"/>
          <w:color w:val="5A5A5A"/>
          <w:sz w:val="20"/>
          <w:szCs w:val="20"/>
        </w:rPr>
        <w:t xml:space="preserve">Amendments.</w:t>
      </w:r>
    </w:p>
    <w:p>
      <w:pPr>
        <w:spacing w:after="60" w:before="60" w:line="300"/>
        <w:jc w:val="left"/>
      </w:pPr>
      <w:r>
        <w:rPr>
          <w:rFonts w:ascii="Arial" w:cs="Arial" w:eastAsia="Arial" w:hAnsi="Arial"/>
          <w:b w:val="false"/>
          <w:bCs w:val="false"/>
          <w:i w:val="false"/>
          <w:iCs w:val="false"/>
          <w:caps w:val="false"/>
          <w:color w:val="3A3A3A"/>
          <w:sz w:val="20"/>
          <w:szCs w:val="20"/>
        </w:rPr>
        <w:t xml:space="preserve">Amendments require written agreement signed by both Parties.</w:t>
      </w:r>
    </w:p>
    <w:p>
      <w:pPr>
        <w:spacing w:after="60" w:before="180" w:line="276"/>
        <w:jc w:val="left"/>
      </w:pPr>
      <w:r>
        <w:rPr>
          <w:rFonts w:ascii="Arial" w:cs="Arial" w:eastAsia="Arial" w:hAnsi="Arial"/>
          <w:b/>
          <w:bCs/>
          <w:i w:val="false"/>
          <w:iCs w:val="false"/>
          <w:caps w:val="false"/>
          <w:color w:val="1A2E4A"/>
          <w:sz w:val="20"/>
          <w:szCs w:val="20"/>
        </w:rPr>
        <w:t xml:space="preserve">9.5  </w:t>
      </w:r>
      <w:r>
        <w:rPr>
          <w:rFonts w:ascii="Arial" w:cs="Arial" w:eastAsia="Arial" w:hAnsi="Arial"/>
          <w:b/>
          <w:bCs/>
          <w:i w:val="false"/>
          <w:iCs w:val="false"/>
          <w:caps w:val="false"/>
          <w:color w:val="5A5A5A"/>
          <w:sz w:val="20"/>
          <w:szCs w:val="20"/>
        </w:rPr>
        <w:t xml:space="preserve">No Waiver.</w:t>
      </w:r>
    </w:p>
    <w:p>
      <w:pPr>
        <w:spacing w:after="60" w:before="60" w:line="300"/>
        <w:jc w:val="left"/>
      </w:pPr>
      <w:r>
        <w:rPr>
          <w:rFonts w:ascii="Arial" w:cs="Arial" w:eastAsia="Arial" w:hAnsi="Arial"/>
          <w:b w:val="false"/>
          <w:bCs w:val="false"/>
          <w:i w:val="false"/>
          <w:iCs w:val="false"/>
          <w:caps w:val="false"/>
          <w:color w:val="3A3A3A"/>
          <w:sz w:val="20"/>
          <w:szCs w:val="20"/>
        </w:rPr>
        <w:t xml:space="preserve">Failure to enforce any right shall not constitute a waiver.</w:t>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 A — SUCCESS FEE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On first USD 10,000,000 of Transaction Value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[5.0]%</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On USD 10,000,001 – USD 50,000,000</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[4.0]%</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On USD 50,000,001 – USD 100,000,000</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[3.0]%</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On USD 100,000,001 – USD 250,000,000</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[2.0]%</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On Transaction Value above USD 250,000,000</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[1.5]%</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Minimum Fee (any Transaction)</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Retainer Credit against Success Fee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Up to [50]% of total Retainer paid</w:t>
            </w:r>
          </w:p>
        </w:tc>
      </w:tr>
    </w:tbl>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ADVISOR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Management Company, LLC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CLIENT</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Client]</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M&amp;A Advisory Mandate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2026-05-01T19:21:56.928Z</dcterms:created>
  <dcterms:modified xsi:type="dcterms:W3CDTF">2026-05-01T19:21:56.928Z</dcterms:modified>
</cp:coreProperties>
</file>

<file path=docProps/custom.xml><?xml version="1.0" encoding="utf-8"?>
<Properties xmlns="http://schemas.openxmlformats.org/officeDocument/2006/custom-properties" xmlns:vt="http://schemas.openxmlformats.org/officeDocument/2006/docPropsVTypes"/>
</file>