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left"/>
      </w:pPr>
    </w:p>
    <w:p>
      <w:pPr>
        <w:spacing w:after="60" w:before="0"/>
        <w:jc w:val="center"/>
      </w:pPr>
      <w:r>
        <w:rPr>
          <w:rFonts w:ascii="Arial" w:cs="Arial" w:eastAsia="Arial" w:hAnsi="Arial"/>
          <w:b/>
          <w:bCs/>
          <w:i w:val="false"/>
          <w:iCs w:val="false"/>
          <w:caps/>
          <w:color w:val="5A5A5A"/>
          <w:sz w:val="20"/>
          <w:szCs w:val="20"/>
        </w:rPr>
        <w:t xml:space="preserve">STUDIOOS AI</w:t>
      </w:r>
    </w:p>
    <w:p>
      <w:pPr>
        <w:spacing w:after="60" w:before="0"/>
        <w:jc w:val="center"/>
      </w:pPr>
      <w:r>
        <w:rPr>
          <w:rFonts w:ascii="Arial" w:cs="Arial" w:eastAsia="Arial" w:hAnsi="Arial"/>
          <w:b/>
          <w:bCs/>
          <w:i w:val="false"/>
          <w:iCs w:val="false"/>
          <w:caps/>
          <w:color w:val="1A2E4A"/>
          <w:sz w:val="38"/>
          <w:szCs w:val="38"/>
        </w:rPr>
        <w:t xml:space="preserve">Master Services Agreement</w:t>
      </w:r>
    </w:p>
    <w:p>
      <w:pPr>
        <w:spacing w:after="300" w:before="0"/>
        <w:jc w:val="center"/>
      </w:pPr>
      <w:r>
        <w:rPr>
          <w:rFonts w:ascii="Arial" w:cs="Arial" w:eastAsia="Arial" w:hAnsi="Arial"/>
          <w:b w:val="false"/>
          <w:bCs w:val="false"/>
          <w:i/>
          <w:iCs/>
          <w:caps w:val="false"/>
          <w:color w:val="5A5A5A"/>
          <w:sz w:val="22"/>
          <w:szCs w:val="22"/>
        </w:rPr>
        <w:t xml:space="preserve">+ Equity-for-Services — Operating Partner</w:t>
      </w:r>
    </w:p>
    <w:p>
      <w:pPr>
        <w:pBdr>
          <w:bottom w:val="single" w:color="1A2E4A" w:sz="8" w:space="4"/>
        </w:pBdr>
        <w:spacing w:after="0" w:before="0"/>
        <w:jc w:val="center"/>
      </w:pPr>
      <w:r>
        <w:rPr>
          <w:rFonts w:ascii="Arial" w:cs="Arial" w:eastAsia="Arial" w:hAnsi="Arial"/>
          <w:b w:val="false"/>
          <w:bCs w:val="false"/>
          <w:i w:val="false"/>
          <w:iCs w:val="false"/>
          <w:caps w:val="false"/>
          <w:color w:val="111111"/>
          <w:sz w:val="20"/>
          <w:szCs w:val="20"/>
        </w:rPr>
        <w:t xml:space="preserve"/>
      </w:r>
    </w:p>
    <w:p>
      <w:pPr>
        <w:spacing w:after="0" w:before="3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Company</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Holdings, Inc., a Delaware corporation (the "Company")</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Operating Partner</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[OPERATING PARTNER FULL LEGAL NAME] (the "Partner")</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Services</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As described in each Statement of Work</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Equity Component</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[___,000] Shares / [___]% of fully-diluted equity — milestone-vested</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Cash Component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 per [month / SOW] as specified in each SOW</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Initial Term</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[2] years from the Effective Date</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Governing Law</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State of Delaware, United States of America</w:t>
            </w:r>
          </w:p>
        </w:tc>
      </w:tr>
    </w:tbl>
    <w:p>
      <w:pPr>
        <w:spacing w:after="0" w:before="240" w:line="276"/>
        <w:jc w:val="left"/>
      </w:pPr>
    </w:p>
    <w:p>
      <w:pPr>
        <w:spacing w:after="40" w:before="100"/>
        <w:jc w:val="center"/>
      </w:pPr>
      <w:r>
        <w:rPr>
          <w:rFonts w:ascii="Arial" w:cs="Arial" w:eastAsia="Arial" w:hAnsi="Arial"/>
          <w:b/>
          <w:bCs/>
          <w:i w:val="false"/>
          <w:iCs w:val="false"/>
          <w:caps/>
          <w:color w:val="AA2222"/>
          <w:sz w:val="18"/>
          <w:szCs w:val="18"/>
        </w:rPr>
        <w:t xml:space="preserve">CONFIDENTIAL</w:t>
      </w:r>
    </w:p>
    <w:p>
      <w:pPr>
        <w:spacing w:after="60" w:before="0"/>
        <w:jc w:val="center"/>
      </w:pPr>
      <w:r>
        <w:rPr>
          <w:rFonts w:ascii="Arial" w:cs="Arial" w:eastAsia="Arial" w:hAnsi="Arial"/>
          <w:b w:val="false"/>
          <w:bCs w:val="false"/>
          <w:i/>
          <w:iCs/>
          <w:caps w:val="false"/>
          <w:color w:val="5A5A5A"/>
          <w:sz w:val="17"/>
          <w:szCs w:val="17"/>
        </w:rPr>
        <w:t xml:space="preserve">Date: [INSERT DATE]    Version: 1.0</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MASTER SERVICES AGREEMENT AND EQUITY-FOR-SERVICES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Master Services Agreement and Equity-for-Services Agreement (this "Agreement") is entered into as of [DATE] (the "Effective Date") between StudioOS AI Holdings, Inc., a Delaware corporation (the "Company"), and [OPERATING PARTNER FULL LEGAL NAME], a [entity type] organized under the laws of [jurisdiction] (the "Partner"). This Agreement governs the provision of operating partner services by Partner to the Company and its portfolio companies, and the grant of equity to Partner as partial consideration therefor.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w:t>
      </w:r>
      <w:r>
        <w:rPr>
          <w:rFonts w:ascii="Arial" w:cs="Arial" w:eastAsia="Arial" w:hAnsi="Arial"/>
          <w:b/>
          <w:bCs/>
          <w:i w:val="false"/>
          <w:iCs w:val="false"/>
          <w:caps w:val="false"/>
          <w:color w:val="1A2E4A"/>
          <w:sz w:val="22"/>
          <w:szCs w:val="22"/>
        </w:rPr>
        <w:t xml:space="preserve">    MASTER SERVICES TERMS</w:t>
      </w:r>
    </w:p>
    <w:p>
      <w:pPr>
        <w:spacing w:after="60" w:before="180" w:line="276"/>
        <w:jc w:val="left"/>
      </w:pPr>
      <w:r>
        <w:rPr>
          <w:rFonts w:ascii="Arial" w:cs="Arial" w:eastAsia="Arial" w:hAnsi="Arial"/>
          <w:b/>
          <w:bCs/>
          <w:i w:val="false"/>
          <w:iCs w:val="false"/>
          <w:caps w:val="false"/>
          <w:color w:val="1A2E4A"/>
          <w:sz w:val="20"/>
          <w:szCs w:val="20"/>
        </w:rPr>
        <w:t xml:space="preserve">1.1  </w:t>
      </w:r>
      <w:r>
        <w:rPr>
          <w:rFonts w:ascii="Arial" w:cs="Arial" w:eastAsia="Arial" w:hAnsi="Arial"/>
          <w:b/>
          <w:bCs/>
          <w:i w:val="false"/>
          <w:iCs w:val="false"/>
          <w:caps w:val="false"/>
          <w:color w:val="5A5A5A"/>
          <w:sz w:val="20"/>
          <w:szCs w:val="20"/>
        </w:rPr>
        <w:t xml:space="preserve">Engagement.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The Company hereby engages Partner as a non-exclusive operating partner to provide services to: (a) the Company directly; and (b) portfolio companies of the Company and/or StudioOS AI Venture Fund I, LP as directed by the Company (each such portfolio company, an "Engagement Target"). All services shall be documented in individual Statements of Work ("SOWs") executed pursuant to this Agreement.</w:t>
      </w:r>
    </w:p>
    <w:p>
      <w:pPr>
        <w:spacing w:after="60" w:before="180" w:line="276"/>
        <w:jc w:val="left"/>
      </w:pPr>
      <w:r>
        <w:rPr>
          <w:rFonts w:ascii="Arial" w:cs="Arial" w:eastAsia="Arial" w:hAnsi="Arial"/>
          <w:b/>
          <w:bCs/>
          <w:i w:val="false"/>
          <w:iCs w:val="false"/>
          <w:caps w:val="false"/>
          <w:color w:val="1A2E4A"/>
          <w:sz w:val="20"/>
          <w:szCs w:val="20"/>
        </w:rPr>
        <w:t xml:space="preserve">1.2  </w:t>
      </w:r>
      <w:r>
        <w:rPr>
          <w:rFonts w:ascii="Arial" w:cs="Arial" w:eastAsia="Arial" w:hAnsi="Arial"/>
          <w:b/>
          <w:bCs/>
          <w:i w:val="false"/>
          <w:iCs w:val="false"/>
          <w:caps w:val="false"/>
          <w:color w:val="5A5A5A"/>
          <w:sz w:val="20"/>
          <w:szCs w:val="20"/>
        </w:rPr>
        <w:t xml:space="preserve">Statements of Work.</w:t>
      </w:r>
    </w:p>
    <w:p>
      <w:pPr>
        <w:spacing w:after="60" w:before="60" w:line="300"/>
        <w:jc w:val="left"/>
      </w:pPr>
      <w:r>
        <w:rPr>
          <w:rFonts w:ascii="Arial" w:cs="Arial" w:eastAsia="Arial" w:hAnsi="Arial"/>
          <w:b w:val="false"/>
          <w:bCs w:val="false"/>
          <w:i w:val="false"/>
          <w:iCs w:val="false"/>
          <w:caps w:val="false"/>
          <w:color w:val="3A3A3A"/>
          <w:sz w:val="20"/>
          <w:szCs w:val="20"/>
        </w:rPr>
        <w:t xml:space="preserve">Each SOW shall be executed by both Parties and shall specify: (a) the Engagement Target (if not the Company itself); (b) the scope of services (the "Services"); (c) deliverables and acceptance criteria; (d) timeline and milestones; (e) cash compensation (if any); (f) any additional equity or equity rights specific to that SOW; and (g) the dedicated personnel assigned by Partner. In the event of any conflict between this Agreement and an SOW, this Agreement shall govern unless the SOW expressly states otherwise.</w:t>
      </w:r>
    </w:p>
    <w:p>
      <w:pPr>
        <w:spacing w:after="60" w:before="180" w:line="276"/>
        <w:jc w:val="left"/>
      </w:pPr>
      <w:r>
        <w:rPr>
          <w:rFonts w:ascii="Arial" w:cs="Arial" w:eastAsia="Arial" w:hAnsi="Arial"/>
          <w:b/>
          <w:bCs/>
          <w:i w:val="false"/>
          <w:iCs w:val="false"/>
          <w:caps w:val="false"/>
          <w:color w:val="1A2E4A"/>
          <w:sz w:val="20"/>
          <w:szCs w:val="20"/>
        </w:rPr>
        <w:t xml:space="preserve">1.3  </w:t>
      </w:r>
      <w:r>
        <w:rPr>
          <w:rFonts w:ascii="Arial" w:cs="Arial" w:eastAsia="Arial" w:hAnsi="Arial"/>
          <w:b/>
          <w:bCs/>
          <w:i w:val="false"/>
          <w:iCs w:val="false"/>
          <w:caps w:val="false"/>
          <w:color w:val="5A5A5A"/>
          <w:sz w:val="20"/>
          <w:szCs w:val="20"/>
        </w:rPr>
        <w:t xml:space="preserve">Standard of Performance.</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shall perform all Services: (a) in a professional and workmanlike manner; (b) consistent with applicable industry standards; (c) in compliance with all applicable laws and the Company's policies; and (d) using personnel with the qualifications specified in the relevant SOW.</w:t>
      </w:r>
    </w:p>
    <w:p>
      <w:pPr>
        <w:spacing w:after="60" w:before="180" w:line="276"/>
        <w:jc w:val="left"/>
      </w:pPr>
      <w:r>
        <w:rPr>
          <w:rFonts w:ascii="Arial" w:cs="Arial" w:eastAsia="Arial" w:hAnsi="Arial"/>
          <w:b/>
          <w:bCs/>
          <w:i w:val="false"/>
          <w:iCs w:val="false"/>
          <w:caps w:val="false"/>
          <w:color w:val="1A2E4A"/>
          <w:sz w:val="20"/>
          <w:szCs w:val="20"/>
        </w:rPr>
        <w:t xml:space="preserve">1.4  </w:t>
      </w:r>
      <w:r>
        <w:rPr>
          <w:rFonts w:ascii="Arial" w:cs="Arial" w:eastAsia="Arial" w:hAnsi="Arial"/>
          <w:b/>
          <w:bCs/>
          <w:i w:val="false"/>
          <w:iCs w:val="false"/>
          <w:caps w:val="false"/>
          <w:color w:val="5A5A5A"/>
          <w:sz w:val="20"/>
          <w:szCs w:val="20"/>
        </w:rPr>
        <w:t xml:space="preserve">Partner Personnel.</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shall designate a primary relationship manager for this engagement. Partner shall promptly notify the Company of any change in key personnel assigned to Services. The Company may object to any substitution on reasonable grounds.</w:t>
      </w:r>
    </w:p>
    <w:p>
      <w:pPr>
        <w:spacing w:after="60" w:before="180" w:line="276"/>
        <w:jc w:val="left"/>
      </w:pPr>
      <w:r>
        <w:rPr>
          <w:rFonts w:ascii="Arial" w:cs="Arial" w:eastAsia="Arial" w:hAnsi="Arial"/>
          <w:b/>
          <w:bCs/>
          <w:i w:val="false"/>
          <w:iCs w:val="false"/>
          <w:caps w:val="false"/>
          <w:color w:val="1A2E4A"/>
          <w:sz w:val="20"/>
          <w:szCs w:val="20"/>
        </w:rPr>
        <w:t xml:space="preserve">1.5  </w:t>
      </w:r>
      <w:r>
        <w:rPr>
          <w:rFonts w:ascii="Arial" w:cs="Arial" w:eastAsia="Arial" w:hAnsi="Arial"/>
          <w:b/>
          <w:bCs/>
          <w:i w:val="false"/>
          <w:iCs w:val="false"/>
          <w:caps w:val="false"/>
          <w:color w:val="5A5A5A"/>
          <w:sz w:val="20"/>
          <w:szCs w:val="20"/>
        </w:rPr>
        <w:t xml:space="preserve">Independent Contractor.</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is an independent contractor. Nothing in this Agreement creates an employment, agency, partnership, or joint venture relationship. Partner shall be solely responsible for all taxes, insurance, and employment-related obligations of its personnel.</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w:t>
      </w:r>
      <w:r>
        <w:rPr>
          <w:rFonts w:ascii="Arial" w:cs="Arial" w:eastAsia="Arial" w:hAnsi="Arial"/>
          <w:b/>
          <w:bCs/>
          <w:i w:val="false"/>
          <w:iCs w:val="false"/>
          <w:caps w:val="false"/>
          <w:color w:val="1A2E4A"/>
          <w:sz w:val="22"/>
          <w:szCs w:val="22"/>
        </w:rPr>
        <w:t xml:space="preserve">    DELIVERABLES AND ACCEPTANCE</w:t>
      </w:r>
    </w:p>
    <w:p>
      <w:pPr>
        <w:spacing w:after="60" w:before="180" w:line="276"/>
        <w:jc w:val="left"/>
      </w:pPr>
      <w:r>
        <w:rPr>
          <w:rFonts w:ascii="Arial" w:cs="Arial" w:eastAsia="Arial" w:hAnsi="Arial"/>
          <w:b/>
          <w:bCs/>
          <w:i w:val="false"/>
          <w:iCs w:val="false"/>
          <w:caps w:val="false"/>
          <w:color w:val="1A2E4A"/>
          <w:sz w:val="20"/>
          <w:szCs w:val="20"/>
        </w:rPr>
        <w:t xml:space="preserve">2.1  </w:t>
      </w:r>
      <w:r>
        <w:rPr>
          <w:rFonts w:ascii="Arial" w:cs="Arial" w:eastAsia="Arial" w:hAnsi="Arial"/>
          <w:b/>
          <w:bCs/>
          <w:i w:val="false"/>
          <w:iCs w:val="false"/>
          <w:caps w:val="false"/>
          <w:color w:val="5A5A5A"/>
          <w:sz w:val="20"/>
          <w:szCs w:val="20"/>
        </w:rPr>
        <w:t xml:space="preserve">Delivery.</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shall deliver all deliverables specified in each SOW by the dates set forth therein. Partner shall provide advance notice of any delay and shall use all reasonable efforts to mitigate the impact of any delay.</w:t>
      </w:r>
    </w:p>
    <w:p>
      <w:pPr>
        <w:spacing w:after="60" w:before="180" w:line="276"/>
        <w:jc w:val="left"/>
      </w:pPr>
      <w:r>
        <w:rPr>
          <w:rFonts w:ascii="Arial" w:cs="Arial" w:eastAsia="Arial" w:hAnsi="Arial"/>
          <w:b/>
          <w:bCs/>
          <w:i w:val="false"/>
          <w:iCs w:val="false"/>
          <w:caps w:val="false"/>
          <w:color w:val="1A2E4A"/>
          <w:sz w:val="20"/>
          <w:szCs w:val="20"/>
        </w:rPr>
        <w:t xml:space="preserve">2.2  </w:t>
      </w:r>
      <w:r>
        <w:rPr>
          <w:rFonts w:ascii="Arial" w:cs="Arial" w:eastAsia="Arial" w:hAnsi="Arial"/>
          <w:b/>
          <w:bCs/>
          <w:i w:val="false"/>
          <w:iCs w:val="false"/>
          <w:caps w:val="false"/>
          <w:color w:val="5A5A5A"/>
          <w:sz w:val="20"/>
          <w:szCs w:val="20"/>
        </w:rPr>
        <w:t xml:space="preserve">Acceptance.</w:t>
      </w:r>
    </w:p>
    <w:p>
      <w:pPr>
        <w:spacing w:after="60" w:before="60" w:line="300"/>
        <w:jc w:val="left"/>
      </w:pPr>
      <w:r>
        <w:rPr>
          <w:rFonts w:ascii="Arial" w:cs="Arial" w:eastAsia="Arial" w:hAnsi="Arial"/>
          <w:b w:val="false"/>
          <w:bCs w:val="false"/>
          <w:i w:val="false"/>
          <w:iCs w:val="false"/>
          <w:caps w:val="false"/>
          <w:color w:val="3A3A3A"/>
          <w:sz w:val="20"/>
          <w:szCs w:val="20"/>
        </w:rPr>
        <w:t xml:space="preserve">The Company shall review each deliverable and provide written acceptance or rejection (with specific reasons) within ten (10) Business Days of receipt. If the Company does not respond within ten (10) Business Days, the deliverable shall be deemed accepted. If rejected, Partner shall remedy the deficiency within fifteen (15) Business Days at no additional cost.</w:t>
      </w:r>
    </w:p>
    <w:p>
      <w:pPr>
        <w:spacing w:after="60" w:before="180" w:line="276"/>
        <w:jc w:val="left"/>
      </w:pPr>
      <w:r>
        <w:rPr>
          <w:rFonts w:ascii="Arial" w:cs="Arial" w:eastAsia="Arial" w:hAnsi="Arial"/>
          <w:b/>
          <w:bCs/>
          <w:i w:val="false"/>
          <w:iCs w:val="false"/>
          <w:caps w:val="false"/>
          <w:color w:val="1A2E4A"/>
          <w:sz w:val="20"/>
          <w:szCs w:val="20"/>
        </w:rPr>
        <w:t xml:space="preserve">2.3  </w:t>
      </w:r>
      <w:r>
        <w:rPr>
          <w:rFonts w:ascii="Arial" w:cs="Arial" w:eastAsia="Arial" w:hAnsi="Arial"/>
          <w:b/>
          <w:bCs/>
          <w:i w:val="false"/>
          <w:iCs w:val="false"/>
          <w:caps w:val="false"/>
          <w:color w:val="5A5A5A"/>
          <w:sz w:val="20"/>
          <w:szCs w:val="20"/>
        </w:rPr>
        <w:t xml:space="preserve">Change Orders.</w:t>
      </w:r>
    </w:p>
    <w:p>
      <w:pPr>
        <w:spacing w:after="60" w:before="60" w:line="300"/>
        <w:jc w:val="left"/>
      </w:pPr>
      <w:r>
        <w:rPr>
          <w:rFonts w:ascii="Arial" w:cs="Arial" w:eastAsia="Arial" w:hAnsi="Arial"/>
          <w:b w:val="false"/>
          <w:bCs w:val="false"/>
          <w:i w:val="false"/>
          <w:iCs w:val="false"/>
          <w:caps w:val="false"/>
          <w:color w:val="3A3A3A"/>
          <w:sz w:val="20"/>
          <w:szCs w:val="20"/>
        </w:rPr>
        <w:t xml:space="preserve">Either Party may request changes to an SOW by written change order. Changes shall not take effect until both Parties execute the change order. The Company shall pay any additional fees agreed in the change order.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III</w:t>
      </w:r>
      <w:r>
        <w:rPr>
          <w:rFonts w:ascii="Arial" w:cs="Arial" w:eastAsia="Arial" w:hAnsi="Arial"/>
          <w:b/>
          <w:bCs/>
          <w:i w:val="false"/>
          <w:iCs w:val="false"/>
          <w:caps w:val="false"/>
          <w:color w:val="1A2E4A"/>
          <w:sz w:val="22"/>
          <w:szCs w:val="22"/>
        </w:rPr>
        <w:t xml:space="preserve">    EQUITY-FOR-SERVICES</w:t>
      </w:r>
    </w:p>
    <w:p>
      <w:pPr>
        <w:spacing w:after="60" w:before="180" w:line="276"/>
        <w:jc w:val="left"/>
      </w:pPr>
      <w:r>
        <w:rPr>
          <w:rFonts w:ascii="Arial" w:cs="Arial" w:eastAsia="Arial" w:hAnsi="Arial"/>
          <w:b/>
          <w:bCs/>
          <w:i w:val="false"/>
          <w:iCs w:val="false"/>
          <w:caps w:val="false"/>
          <w:color w:val="1A2E4A"/>
          <w:sz w:val="20"/>
          <w:szCs w:val="20"/>
        </w:rPr>
        <w:t xml:space="preserve">3.1  </w:t>
      </w:r>
      <w:r>
        <w:rPr>
          <w:rFonts w:ascii="Arial" w:cs="Arial" w:eastAsia="Arial" w:hAnsi="Arial"/>
          <w:b/>
          <w:bCs/>
          <w:i w:val="false"/>
          <w:iCs w:val="false"/>
          <w:caps w:val="false"/>
          <w:color w:val="5A5A5A"/>
          <w:sz w:val="20"/>
          <w:szCs w:val="20"/>
        </w:rPr>
        <w:t xml:space="preserve">Equity Grant.</w:t>
      </w:r>
    </w:p>
    <w:p>
      <w:pPr>
        <w:spacing w:after="60" w:before="60" w:line="300"/>
        <w:jc w:val="left"/>
      </w:pPr>
      <w:r>
        <w:rPr>
          <w:rFonts w:ascii="Arial" w:cs="Arial" w:eastAsia="Arial" w:hAnsi="Arial"/>
          <w:b w:val="false"/>
          <w:bCs w:val="false"/>
          <w:i w:val="false"/>
          <w:iCs w:val="false"/>
          <w:caps w:val="false"/>
          <w:color w:val="3A3A3A"/>
          <w:sz w:val="20"/>
          <w:szCs w:val="20"/>
        </w:rPr>
        <w:t xml:space="preserve">In partial consideration for Partner's services under this Agreement, the Company hereby grants Partner equity in the Company (the "Partner Equity") consisting of [___,000] shares of Common Stock (or, at the Company's election, options to acquire [___,000] shares at a per-share exercise price equal to the fair market value on the Grant Date). The Partner Equity has a notional value of USD [___,000] as of the Grant Date.</w:t>
      </w:r>
    </w:p>
    <w:p>
      <w:pPr>
        <w:spacing w:after="60" w:before="180" w:line="276"/>
        <w:jc w:val="left"/>
      </w:pPr>
      <w:r>
        <w:rPr>
          <w:rFonts w:ascii="Arial" w:cs="Arial" w:eastAsia="Arial" w:hAnsi="Arial"/>
          <w:b/>
          <w:bCs/>
          <w:i w:val="false"/>
          <w:iCs w:val="false"/>
          <w:caps w:val="false"/>
          <w:color w:val="1A2E4A"/>
          <w:sz w:val="20"/>
          <w:szCs w:val="20"/>
        </w:rPr>
        <w:t xml:space="preserve">3.2  </w:t>
      </w:r>
      <w:r>
        <w:rPr>
          <w:rFonts w:ascii="Arial" w:cs="Arial" w:eastAsia="Arial" w:hAnsi="Arial"/>
          <w:b/>
          <w:bCs/>
          <w:i w:val="false"/>
          <w:iCs w:val="false"/>
          <w:caps w:val="false"/>
          <w:color w:val="5A5A5A"/>
          <w:sz w:val="20"/>
          <w:szCs w:val="20"/>
        </w:rPr>
        <w:t xml:space="preserve">Milestone-Based Vesting.</w:t>
      </w:r>
    </w:p>
    <w:p>
      <w:pPr>
        <w:spacing w:after="60" w:before="60" w:line="300"/>
        <w:jc w:val="left"/>
      </w:pPr>
      <w:r>
        <w:rPr>
          <w:rFonts w:ascii="Arial" w:cs="Arial" w:eastAsia="Arial" w:hAnsi="Arial"/>
          <w:b w:val="false"/>
          <w:bCs w:val="false"/>
          <w:i w:val="false"/>
          <w:iCs w:val="false"/>
          <w:caps w:val="false"/>
          <w:color w:val="3A3A3A"/>
          <w:sz w:val="20"/>
          <w:szCs w:val="20"/>
        </w:rPr>
        <w:t xml:space="preserve">The Partner Equity shall vest upon achievement of the milestones set forth in Schedule A (the "Milestone Schedule"). Each milestone, and the percentage of Partner Equity vesting upon achievement thereof, is set out in Schedule A. The Company's board shall determine, in its reasonable discretion, whether each milestone has been achieved. Partner shall have the right to dispute any milestone determination pursuant to the dispute resolution provisions of Article IX.</w:t>
      </w:r>
    </w:p>
    <w:p>
      <w:pPr>
        <w:spacing w:after="60" w:before="180" w:line="276"/>
        <w:jc w:val="left"/>
      </w:pPr>
      <w:r>
        <w:rPr>
          <w:rFonts w:ascii="Arial" w:cs="Arial" w:eastAsia="Arial" w:hAnsi="Arial"/>
          <w:b/>
          <w:bCs/>
          <w:i w:val="false"/>
          <w:iCs w:val="false"/>
          <w:caps w:val="false"/>
          <w:color w:val="1A2E4A"/>
          <w:sz w:val="20"/>
          <w:szCs w:val="20"/>
        </w:rPr>
        <w:t xml:space="preserve">3.3  </w:t>
      </w:r>
      <w:r>
        <w:rPr>
          <w:rFonts w:ascii="Arial" w:cs="Arial" w:eastAsia="Arial" w:hAnsi="Arial"/>
          <w:b/>
          <w:bCs/>
          <w:i w:val="false"/>
          <w:iCs w:val="false"/>
          <w:caps w:val="false"/>
          <w:color w:val="5A5A5A"/>
          <w:sz w:val="20"/>
          <w:szCs w:val="20"/>
        </w:rPr>
        <w:t xml:space="preserve">Time-Based Vesting Alternative.</w:t>
      </w:r>
    </w:p>
    <w:p>
      <w:pPr>
        <w:spacing w:after="60" w:before="60" w:line="300"/>
        <w:jc w:val="left"/>
      </w:pPr>
      <w:r>
        <w:rPr>
          <w:rFonts w:ascii="Arial" w:cs="Arial" w:eastAsia="Arial" w:hAnsi="Arial"/>
          <w:b w:val="false"/>
          <w:bCs w:val="false"/>
          <w:i w:val="false"/>
          <w:iCs w:val="false"/>
          <w:caps w:val="false"/>
          <w:color w:val="3A3A3A"/>
          <w:sz w:val="20"/>
          <w:szCs w:val="20"/>
        </w:rPr>
        <w:t xml:space="preserve">If the Parties agree in the applicable SOW, a portion of the Partner Equity may vest on a time-based schedule (the "Time-Based Tranche") in equal monthly instalments over the service period specified in such SOW. The Time-Based Tranche, if any, is specified in Schedule A.</w:t>
      </w:r>
    </w:p>
    <w:p>
      <w:pPr>
        <w:spacing w:after="60" w:before="180" w:line="276"/>
        <w:jc w:val="left"/>
      </w:pPr>
      <w:r>
        <w:rPr>
          <w:rFonts w:ascii="Arial" w:cs="Arial" w:eastAsia="Arial" w:hAnsi="Arial"/>
          <w:b/>
          <w:bCs/>
          <w:i w:val="false"/>
          <w:iCs w:val="false"/>
          <w:caps w:val="false"/>
          <w:color w:val="1A2E4A"/>
          <w:sz w:val="20"/>
          <w:szCs w:val="20"/>
        </w:rPr>
        <w:t xml:space="preserve">3.4  </w:t>
      </w:r>
      <w:r>
        <w:rPr>
          <w:rFonts w:ascii="Arial" w:cs="Arial" w:eastAsia="Arial" w:hAnsi="Arial"/>
          <w:b/>
          <w:bCs/>
          <w:i w:val="false"/>
          <w:iCs w:val="false"/>
          <w:caps w:val="false"/>
          <w:color w:val="5A5A5A"/>
          <w:sz w:val="20"/>
          <w:szCs w:val="20"/>
        </w:rPr>
        <w:t xml:space="preserve">Forfeiture.</w:t>
      </w:r>
    </w:p>
    <w:p>
      <w:pPr>
        <w:spacing w:after="60" w:before="60" w:line="300"/>
        <w:jc w:val="left"/>
      </w:pPr>
      <w:r>
        <w:rPr>
          <w:rFonts w:ascii="Arial" w:cs="Arial" w:eastAsia="Arial" w:hAnsi="Arial"/>
          <w:b w:val="false"/>
          <w:bCs w:val="false"/>
          <w:i w:val="false"/>
          <w:iCs w:val="false"/>
          <w:caps w:val="false"/>
          <w:color w:val="3A3A3A"/>
          <w:sz w:val="20"/>
          <w:szCs w:val="20"/>
        </w:rPr>
        <w:t xml:space="preserve">Any unvested Partner Equity shall be forfeited upon: (a) termination of this Agreement by the Company for Cause; (b) material failure by Partner to achieve milestones within the cure periods specified in Schedule A; or (c) Partner's material breach of any obligation under this Agreement not cured within thirty (30) days of notice.</w:t>
      </w:r>
    </w:p>
    <w:p>
      <w:pPr>
        <w:spacing w:after="60" w:before="180" w:line="276"/>
        <w:jc w:val="left"/>
      </w:pPr>
      <w:r>
        <w:rPr>
          <w:rFonts w:ascii="Arial" w:cs="Arial" w:eastAsia="Arial" w:hAnsi="Arial"/>
          <w:b/>
          <w:bCs/>
          <w:i w:val="false"/>
          <w:iCs w:val="false"/>
          <w:caps w:val="false"/>
          <w:color w:val="1A2E4A"/>
          <w:sz w:val="20"/>
          <w:szCs w:val="20"/>
        </w:rPr>
        <w:t xml:space="preserve">3.5  </w:t>
      </w:r>
      <w:r>
        <w:rPr>
          <w:rFonts w:ascii="Arial" w:cs="Arial" w:eastAsia="Arial" w:hAnsi="Arial"/>
          <w:b/>
          <w:bCs/>
          <w:i w:val="false"/>
          <w:iCs w:val="false"/>
          <w:caps w:val="false"/>
          <w:color w:val="5A5A5A"/>
          <w:sz w:val="20"/>
          <w:szCs w:val="20"/>
        </w:rPr>
        <w:t xml:space="preserve">Non-Dilution Assurance.</w:t>
      </w:r>
    </w:p>
    <w:p>
      <w:pPr>
        <w:spacing w:after="60" w:before="60" w:line="300"/>
        <w:jc w:val="left"/>
      </w:pPr>
      <w:r>
        <w:rPr>
          <w:rFonts w:ascii="Arial" w:cs="Arial" w:eastAsia="Arial" w:hAnsi="Arial"/>
          <w:b w:val="false"/>
          <w:bCs w:val="false"/>
          <w:i w:val="false"/>
          <w:iCs w:val="false"/>
          <w:caps w:val="false"/>
          <w:color w:val="3A3A3A"/>
          <w:sz w:val="20"/>
          <w:szCs w:val="20"/>
        </w:rPr>
        <w:t xml:space="preserve">The Company shall not grant equity to any other service partner or advisor on materially more favourable terms (on a per-service-value basis) than the terms of this Agreement without offering comparable terms to Partner.</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IV</w:t>
      </w:r>
      <w:r>
        <w:rPr>
          <w:rFonts w:ascii="Arial" w:cs="Arial" w:eastAsia="Arial" w:hAnsi="Arial"/>
          <w:b/>
          <w:bCs/>
          <w:i w:val="false"/>
          <w:iCs w:val="false"/>
          <w:caps w:val="false"/>
          <w:color w:val="1A2E4A"/>
          <w:sz w:val="22"/>
          <w:szCs w:val="22"/>
        </w:rPr>
        <w:t xml:space="preserve">    CASH COMPENSATION</w:t>
      </w:r>
    </w:p>
    <w:p>
      <w:pPr>
        <w:spacing w:after="60" w:before="180" w:line="276"/>
        <w:jc w:val="left"/>
      </w:pPr>
      <w:r>
        <w:rPr>
          <w:rFonts w:ascii="Arial" w:cs="Arial" w:eastAsia="Arial" w:hAnsi="Arial"/>
          <w:b/>
          <w:bCs/>
          <w:i w:val="false"/>
          <w:iCs w:val="false"/>
          <w:caps w:val="false"/>
          <w:color w:val="1A2E4A"/>
          <w:sz w:val="20"/>
          <w:szCs w:val="20"/>
        </w:rPr>
        <w:t xml:space="preserve">4.1  </w:t>
      </w:r>
      <w:r>
        <w:rPr>
          <w:rFonts w:ascii="Arial" w:cs="Arial" w:eastAsia="Arial" w:hAnsi="Arial"/>
          <w:b/>
          <w:bCs/>
          <w:i w:val="false"/>
          <w:iCs w:val="false"/>
          <w:caps w:val="false"/>
          <w:color w:val="5A5A5A"/>
          <w:sz w:val="20"/>
          <w:szCs w:val="20"/>
        </w:rPr>
        <w:t xml:space="preserve">Fees.</w:t>
      </w:r>
    </w:p>
    <w:p>
      <w:pPr>
        <w:spacing w:after="60" w:before="60" w:line="300"/>
        <w:jc w:val="left"/>
      </w:pPr>
      <w:r>
        <w:rPr>
          <w:rFonts w:ascii="Arial" w:cs="Arial" w:eastAsia="Arial" w:hAnsi="Arial"/>
          <w:b w:val="false"/>
          <w:bCs w:val="false"/>
          <w:i w:val="false"/>
          <w:iCs w:val="false"/>
          <w:caps w:val="false"/>
          <w:color w:val="3A3A3A"/>
          <w:sz w:val="20"/>
          <w:szCs w:val="20"/>
        </w:rPr>
        <w:t xml:space="preserve">The cash component of Partner's compensation, if any, shall be set forth in each SOW. Unless otherwise specified in an SOW, fees shall be payable within thirty (30) days of the Company's acceptance of the relevant deliverable or, for retainer arrangements, in advance on the first Business Day of each month.</w:t>
      </w:r>
    </w:p>
    <w:p>
      <w:pPr>
        <w:spacing w:after="60" w:before="180" w:line="276"/>
        <w:jc w:val="left"/>
      </w:pPr>
      <w:r>
        <w:rPr>
          <w:rFonts w:ascii="Arial" w:cs="Arial" w:eastAsia="Arial" w:hAnsi="Arial"/>
          <w:b/>
          <w:bCs/>
          <w:i w:val="false"/>
          <w:iCs w:val="false"/>
          <w:caps w:val="false"/>
          <w:color w:val="1A2E4A"/>
          <w:sz w:val="20"/>
          <w:szCs w:val="20"/>
        </w:rPr>
        <w:t xml:space="preserve">4.2  </w:t>
      </w:r>
      <w:r>
        <w:rPr>
          <w:rFonts w:ascii="Arial" w:cs="Arial" w:eastAsia="Arial" w:hAnsi="Arial"/>
          <w:b/>
          <w:bCs/>
          <w:i w:val="false"/>
          <w:iCs w:val="false"/>
          <w:caps w:val="false"/>
          <w:color w:val="5A5A5A"/>
          <w:sz w:val="20"/>
          <w:szCs w:val="20"/>
        </w:rPr>
        <w:t xml:space="preserve">Expenses.</w:t>
      </w:r>
    </w:p>
    <w:p>
      <w:pPr>
        <w:spacing w:after="60" w:before="60" w:line="300"/>
        <w:jc w:val="left"/>
      </w:pPr>
      <w:r>
        <w:rPr>
          <w:rFonts w:ascii="Arial" w:cs="Arial" w:eastAsia="Arial" w:hAnsi="Arial"/>
          <w:b w:val="false"/>
          <w:bCs w:val="false"/>
          <w:i w:val="false"/>
          <w:iCs w:val="false"/>
          <w:caps w:val="false"/>
          <w:color w:val="3A3A3A"/>
          <w:sz w:val="20"/>
          <w:szCs w:val="20"/>
        </w:rPr>
        <w:t xml:space="preserve">The Company shall reimburse Partner for pre-approved out-of-pocket expenses incurred in performing Services. Partner shall submit expense claims with supporting documentation within thirty (30) days of incurrence.</w:t>
      </w:r>
    </w:p>
    <w:p>
      <w:pPr>
        <w:spacing w:after="60" w:before="180" w:line="276"/>
        <w:jc w:val="left"/>
      </w:pPr>
      <w:r>
        <w:rPr>
          <w:rFonts w:ascii="Arial" w:cs="Arial" w:eastAsia="Arial" w:hAnsi="Arial"/>
          <w:b/>
          <w:bCs/>
          <w:i w:val="false"/>
          <w:iCs w:val="false"/>
          <w:caps w:val="false"/>
          <w:color w:val="1A2E4A"/>
          <w:sz w:val="20"/>
          <w:szCs w:val="20"/>
        </w:rPr>
        <w:t xml:space="preserve">4.3  </w:t>
      </w:r>
      <w:r>
        <w:rPr>
          <w:rFonts w:ascii="Arial" w:cs="Arial" w:eastAsia="Arial" w:hAnsi="Arial"/>
          <w:b/>
          <w:bCs/>
          <w:i w:val="false"/>
          <w:iCs w:val="false"/>
          <w:caps w:val="false"/>
          <w:color w:val="5A5A5A"/>
          <w:sz w:val="20"/>
          <w:szCs w:val="20"/>
        </w:rPr>
        <w:t xml:space="preserve">Taxes.</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is responsible for all taxes on fees and equity received under this Agreement. The Company shall withhold taxes only if required by applicable law.</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w:t>
      </w:r>
      <w:r>
        <w:rPr>
          <w:rFonts w:ascii="Arial" w:cs="Arial" w:eastAsia="Arial" w:hAnsi="Arial"/>
          <w:b/>
          <w:bCs/>
          <w:i w:val="false"/>
          <w:iCs w:val="false"/>
          <w:caps w:val="false"/>
          <w:color w:val="1A2E4A"/>
          <w:sz w:val="22"/>
          <w:szCs w:val="22"/>
        </w:rPr>
        <w:t xml:space="preserve">    INTELLECTUAL PROPERTY</w:t>
      </w:r>
    </w:p>
    <w:p>
      <w:pPr>
        <w:spacing w:after="60" w:before="180" w:line="276"/>
        <w:jc w:val="left"/>
      </w:pPr>
      <w:r>
        <w:rPr>
          <w:rFonts w:ascii="Arial" w:cs="Arial" w:eastAsia="Arial" w:hAnsi="Arial"/>
          <w:b/>
          <w:bCs/>
          <w:i w:val="false"/>
          <w:iCs w:val="false"/>
          <w:caps w:val="false"/>
          <w:color w:val="1A2E4A"/>
          <w:sz w:val="20"/>
          <w:szCs w:val="20"/>
        </w:rPr>
        <w:t xml:space="preserve">5.1  </w:t>
      </w:r>
      <w:r>
        <w:rPr>
          <w:rFonts w:ascii="Arial" w:cs="Arial" w:eastAsia="Arial" w:hAnsi="Arial"/>
          <w:b/>
          <w:bCs/>
          <w:i w:val="false"/>
          <w:iCs w:val="false"/>
          <w:caps w:val="false"/>
          <w:color w:val="5A5A5A"/>
          <w:sz w:val="20"/>
          <w:szCs w:val="20"/>
        </w:rPr>
        <w:t xml:space="preserve">Work Product Ownership.</w:t>
      </w:r>
    </w:p>
    <w:p>
      <w:pPr>
        <w:spacing w:after="60" w:before="60" w:line="300"/>
        <w:jc w:val="left"/>
      </w:pPr>
      <w:r>
        <w:rPr>
          <w:rFonts w:ascii="Arial" w:cs="Arial" w:eastAsia="Arial" w:hAnsi="Arial"/>
          <w:b w:val="false"/>
          <w:bCs w:val="false"/>
          <w:i w:val="false"/>
          <w:iCs w:val="false"/>
          <w:caps w:val="false"/>
          <w:color w:val="3A3A3A"/>
          <w:sz w:val="20"/>
          <w:szCs w:val="20"/>
        </w:rPr>
        <w:t xml:space="preserve">All deliverables, work product, inventions, and intellectual property created by Partner in connection with the Services ("Work Product") shall be the sole and exclusive property of the Company or the relevant Engagement Target. Partner hereby irrevocably assigns all right, title, and interest in Work Product to the Company (or, as directed by the Company, to an Engagement Target).</w:t>
      </w:r>
    </w:p>
    <w:p>
      <w:pPr>
        <w:spacing w:after="60" w:before="180" w:line="276"/>
        <w:jc w:val="left"/>
      </w:pPr>
      <w:r>
        <w:rPr>
          <w:rFonts w:ascii="Arial" w:cs="Arial" w:eastAsia="Arial" w:hAnsi="Arial"/>
          <w:b/>
          <w:bCs/>
          <w:i w:val="false"/>
          <w:iCs w:val="false"/>
          <w:caps w:val="false"/>
          <w:color w:val="1A2E4A"/>
          <w:sz w:val="20"/>
          <w:szCs w:val="20"/>
        </w:rPr>
        <w:t xml:space="preserve">5.2  </w:t>
      </w:r>
      <w:r>
        <w:rPr>
          <w:rFonts w:ascii="Arial" w:cs="Arial" w:eastAsia="Arial" w:hAnsi="Arial"/>
          <w:b/>
          <w:bCs/>
          <w:i w:val="false"/>
          <w:iCs w:val="false"/>
          <w:caps w:val="false"/>
          <w:color w:val="5A5A5A"/>
          <w:sz w:val="20"/>
          <w:szCs w:val="20"/>
        </w:rPr>
        <w:t xml:space="preserve">Background IP.</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retains all rights in its pre-existing intellectual property ("Background IP"). Partner grants the Company a non-exclusive, perpetual, royalty-free license to use Background IP to the extent incorporated in or necessary for the use of Work Product.</w:t>
      </w:r>
    </w:p>
    <w:p>
      <w:pPr>
        <w:spacing w:after="60" w:before="180" w:line="276"/>
        <w:jc w:val="left"/>
      </w:pPr>
      <w:r>
        <w:rPr>
          <w:rFonts w:ascii="Arial" w:cs="Arial" w:eastAsia="Arial" w:hAnsi="Arial"/>
          <w:b/>
          <w:bCs/>
          <w:i w:val="false"/>
          <w:iCs w:val="false"/>
          <w:caps w:val="false"/>
          <w:color w:val="1A2E4A"/>
          <w:sz w:val="20"/>
          <w:szCs w:val="20"/>
        </w:rPr>
        <w:t xml:space="preserve">5.3  </w:t>
      </w:r>
      <w:r>
        <w:rPr>
          <w:rFonts w:ascii="Arial" w:cs="Arial" w:eastAsia="Arial" w:hAnsi="Arial"/>
          <w:b/>
          <w:bCs/>
          <w:i w:val="false"/>
          <w:iCs w:val="false"/>
          <w:caps w:val="false"/>
          <w:color w:val="5A5A5A"/>
          <w:sz w:val="20"/>
          <w:szCs w:val="20"/>
        </w:rPr>
        <w:t xml:space="preserve">License to Use Company Materials.</w:t>
      </w:r>
    </w:p>
    <w:p>
      <w:pPr>
        <w:spacing w:after="60" w:before="60" w:line="300"/>
        <w:jc w:val="left"/>
      </w:pPr>
      <w:r>
        <w:rPr>
          <w:rFonts w:ascii="Arial" w:cs="Arial" w:eastAsia="Arial" w:hAnsi="Arial"/>
          <w:b w:val="false"/>
          <w:bCs w:val="false"/>
          <w:i w:val="false"/>
          <w:iCs w:val="false"/>
          <w:caps w:val="false"/>
          <w:color w:val="3A3A3A"/>
          <w:sz w:val="20"/>
          <w:szCs w:val="20"/>
        </w:rPr>
        <w:t xml:space="preserve">The Company grants Partner a limited, non-exclusive license to use Company materials, data, and systems solely to the extent required to perform the Services. This license shall terminate upon expiry or termination of the relevant SOW.</w:t>
      </w:r>
    </w:p>
    <w:p>
      <w:pPr>
        <w:spacing w:after="60" w:before="180" w:line="276"/>
        <w:jc w:val="left"/>
      </w:pPr>
      <w:r>
        <w:rPr>
          <w:rFonts w:ascii="Arial" w:cs="Arial" w:eastAsia="Arial" w:hAnsi="Arial"/>
          <w:b/>
          <w:bCs/>
          <w:i w:val="false"/>
          <w:iCs w:val="false"/>
          <w:caps w:val="false"/>
          <w:color w:val="1A2E4A"/>
          <w:sz w:val="20"/>
          <w:szCs w:val="20"/>
        </w:rPr>
        <w:t xml:space="preserve">5.4  </w:t>
      </w:r>
      <w:r>
        <w:rPr>
          <w:rFonts w:ascii="Arial" w:cs="Arial" w:eastAsia="Arial" w:hAnsi="Arial"/>
          <w:b/>
          <w:bCs/>
          <w:i w:val="false"/>
          <w:iCs w:val="false"/>
          <w:caps w:val="false"/>
          <w:color w:val="5A5A5A"/>
          <w:sz w:val="20"/>
          <w:szCs w:val="20"/>
        </w:rPr>
        <w:t xml:space="preserve">Open Source.</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shall not use any open source software in the performance of Services or in any Work Product without prior written disclosure to and approval by the Company.</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w:t>
      </w:r>
      <w:r>
        <w:rPr>
          <w:rFonts w:ascii="Arial" w:cs="Arial" w:eastAsia="Arial" w:hAnsi="Arial"/>
          <w:b/>
          <w:bCs/>
          <w:i w:val="false"/>
          <w:iCs w:val="false"/>
          <w:caps w:val="false"/>
          <w:color w:val="1A2E4A"/>
          <w:sz w:val="22"/>
          <w:szCs w:val="22"/>
        </w:rPr>
        <w:t xml:space="preserve">    DATA PROTECTION AND SECURITY</w:t>
      </w:r>
    </w:p>
    <w:p>
      <w:pPr>
        <w:spacing w:after="60" w:before="180" w:line="276"/>
        <w:jc w:val="left"/>
      </w:pPr>
      <w:r>
        <w:rPr>
          <w:rFonts w:ascii="Arial" w:cs="Arial" w:eastAsia="Arial" w:hAnsi="Arial"/>
          <w:b/>
          <w:bCs/>
          <w:i w:val="false"/>
          <w:iCs w:val="false"/>
          <w:caps w:val="false"/>
          <w:color w:val="1A2E4A"/>
          <w:sz w:val="20"/>
          <w:szCs w:val="20"/>
        </w:rPr>
        <w:t xml:space="preserve">6.1  </w:t>
      </w:r>
      <w:r>
        <w:rPr>
          <w:rFonts w:ascii="Arial" w:cs="Arial" w:eastAsia="Arial" w:hAnsi="Arial"/>
          <w:b/>
          <w:bCs/>
          <w:i w:val="false"/>
          <w:iCs w:val="false"/>
          <w:caps w:val="false"/>
          <w:color w:val="5A5A5A"/>
          <w:sz w:val="20"/>
          <w:szCs w:val="20"/>
        </w:rPr>
        <w:t xml:space="preserve">Data Processing.</w:t>
      </w:r>
    </w:p>
    <w:p>
      <w:pPr>
        <w:spacing w:after="60" w:before="60" w:line="300"/>
        <w:jc w:val="left"/>
      </w:pPr>
      <w:r>
        <w:rPr>
          <w:rFonts w:ascii="Arial" w:cs="Arial" w:eastAsia="Arial" w:hAnsi="Arial"/>
          <w:b w:val="false"/>
          <w:bCs w:val="false"/>
          <w:i w:val="false"/>
          <w:iCs w:val="false"/>
          <w:caps w:val="false"/>
          <w:color w:val="3A3A3A"/>
          <w:sz w:val="20"/>
          <w:szCs w:val="20"/>
        </w:rPr>
        <w:t xml:space="preserve">To the extent Partner processes personal data on behalf of the Company or an Engagement Target, Partner shall act as a Data Processor under applicable data protection law (including GDPR), and the parties shall execute a Data Processing Agreement prior to such processing.</w:t>
      </w:r>
    </w:p>
    <w:p>
      <w:pPr>
        <w:spacing w:after="60" w:before="180" w:line="276"/>
        <w:jc w:val="left"/>
      </w:pPr>
      <w:r>
        <w:rPr>
          <w:rFonts w:ascii="Arial" w:cs="Arial" w:eastAsia="Arial" w:hAnsi="Arial"/>
          <w:b/>
          <w:bCs/>
          <w:i w:val="false"/>
          <w:iCs w:val="false"/>
          <w:caps w:val="false"/>
          <w:color w:val="1A2E4A"/>
          <w:sz w:val="20"/>
          <w:szCs w:val="20"/>
        </w:rPr>
        <w:t xml:space="preserve">6.2  </w:t>
      </w:r>
      <w:r>
        <w:rPr>
          <w:rFonts w:ascii="Arial" w:cs="Arial" w:eastAsia="Arial" w:hAnsi="Arial"/>
          <w:b/>
          <w:bCs/>
          <w:i w:val="false"/>
          <w:iCs w:val="false"/>
          <w:caps w:val="false"/>
          <w:color w:val="5A5A5A"/>
          <w:sz w:val="20"/>
          <w:szCs w:val="20"/>
        </w:rPr>
        <w:t xml:space="preserve">Security Obligations.</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shall maintain commercially reasonable technical and organisational security measures to protect Company data and systems, consistent with ISO 27001 or SOC 2 Type II standards. Partner shall promptly notify the Company of any data breach or security incident.</w:t>
      </w:r>
    </w:p>
    <w:p>
      <w:pPr>
        <w:spacing w:after="60" w:before="180" w:line="276"/>
        <w:jc w:val="left"/>
      </w:pPr>
      <w:r>
        <w:rPr>
          <w:rFonts w:ascii="Arial" w:cs="Arial" w:eastAsia="Arial" w:hAnsi="Arial"/>
          <w:b/>
          <w:bCs/>
          <w:i w:val="false"/>
          <w:iCs w:val="false"/>
          <w:caps w:val="false"/>
          <w:color w:val="1A2E4A"/>
          <w:sz w:val="20"/>
          <w:szCs w:val="20"/>
        </w:rPr>
        <w:t xml:space="preserve">6.3  </w:t>
      </w:r>
      <w:r>
        <w:rPr>
          <w:rFonts w:ascii="Arial" w:cs="Arial" w:eastAsia="Arial" w:hAnsi="Arial"/>
          <w:b/>
          <w:bCs/>
          <w:i w:val="false"/>
          <w:iCs w:val="false"/>
          <w:caps w:val="false"/>
          <w:color w:val="5A5A5A"/>
          <w:sz w:val="20"/>
          <w:szCs w:val="20"/>
        </w:rPr>
        <w:t xml:space="preserve">Data Return.</w:t>
      </w:r>
    </w:p>
    <w:p>
      <w:pPr>
        <w:spacing w:after="60" w:before="60" w:line="300"/>
        <w:jc w:val="left"/>
      </w:pPr>
      <w:r>
        <w:rPr>
          <w:rFonts w:ascii="Arial" w:cs="Arial" w:eastAsia="Arial" w:hAnsi="Arial"/>
          <w:b w:val="false"/>
          <w:bCs w:val="false"/>
          <w:i w:val="false"/>
          <w:iCs w:val="false"/>
          <w:caps w:val="false"/>
          <w:color w:val="3A3A3A"/>
          <w:sz w:val="20"/>
          <w:szCs w:val="20"/>
        </w:rPr>
        <w:t xml:space="preserve">Upon termination, Partner shall return or destroy all Company data within thirty (30) days and certify such return or destruction in writing.</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w:t>
      </w:r>
      <w:r>
        <w:rPr>
          <w:rFonts w:ascii="Arial" w:cs="Arial" w:eastAsia="Arial" w:hAnsi="Arial"/>
          <w:b/>
          <w:bCs/>
          <w:i w:val="false"/>
          <w:iCs w:val="false"/>
          <w:caps w:val="false"/>
          <w:color w:val="1A2E4A"/>
          <w:sz w:val="22"/>
          <w:szCs w:val="22"/>
        </w:rPr>
        <w:t xml:space="preserve">    CONFIDENTIALITY</w:t>
      </w:r>
    </w:p>
    <w:p>
      <w:pPr>
        <w:spacing w:after="60" w:before="180" w:line="276"/>
        <w:jc w:val="left"/>
      </w:pPr>
      <w:r>
        <w:rPr>
          <w:rFonts w:ascii="Arial" w:cs="Arial" w:eastAsia="Arial" w:hAnsi="Arial"/>
          <w:b/>
          <w:bCs/>
          <w:i w:val="false"/>
          <w:iCs w:val="false"/>
          <w:caps w:val="false"/>
          <w:color w:val="1A2E4A"/>
          <w:sz w:val="20"/>
          <w:szCs w:val="20"/>
        </w:rPr>
        <w:t xml:space="preserve">7.1  </w:t>
      </w:r>
      <w:r>
        <w:rPr>
          <w:rFonts w:ascii="Arial" w:cs="Arial" w:eastAsia="Arial" w:hAnsi="Arial"/>
          <w:b/>
          <w:bCs/>
          <w:i w:val="false"/>
          <w:iCs w:val="false"/>
          <w:caps w:val="false"/>
          <w:color w:val="5A5A5A"/>
          <w:sz w:val="20"/>
          <w:szCs w:val="20"/>
        </w:rPr>
        <w:t xml:space="preserve">Obligation.</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shall maintain in strict confidence all Confidential Information of the Company, Engagement Targets, and other portfolio companies. This obligation survives for five (5) years post-termination.</w:t>
      </w:r>
    </w:p>
    <w:p>
      <w:pPr>
        <w:spacing w:after="60" w:before="180" w:line="276"/>
        <w:jc w:val="left"/>
      </w:pPr>
      <w:r>
        <w:rPr>
          <w:rFonts w:ascii="Arial" w:cs="Arial" w:eastAsia="Arial" w:hAnsi="Arial"/>
          <w:b/>
          <w:bCs/>
          <w:i w:val="false"/>
          <w:iCs w:val="false"/>
          <w:caps w:val="false"/>
          <w:color w:val="1A2E4A"/>
          <w:sz w:val="20"/>
          <w:szCs w:val="20"/>
        </w:rPr>
        <w:t xml:space="preserve">7.2  </w:t>
      </w:r>
      <w:r>
        <w:rPr>
          <w:rFonts w:ascii="Arial" w:cs="Arial" w:eastAsia="Arial" w:hAnsi="Arial"/>
          <w:b/>
          <w:bCs/>
          <w:i w:val="false"/>
          <w:iCs w:val="false"/>
          <w:caps w:val="false"/>
          <w:color w:val="5A5A5A"/>
          <w:sz w:val="20"/>
          <w:szCs w:val="20"/>
        </w:rPr>
        <w:t xml:space="preserve">No Cross-Disclosure.</w:t>
      </w:r>
    </w:p>
    <w:p>
      <w:pPr>
        <w:spacing w:after="60" w:before="60" w:line="300"/>
        <w:jc w:val="left"/>
      </w:pPr>
      <w:r>
        <w:rPr>
          <w:rFonts w:ascii="Arial" w:cs="Arial" w:eastAsia="Arial" w:hAnsi="Arial"/>
          <w:b w:val="false"/>
          <w:bCs w:val="false"/>
          <w:i w:val="false"/>
          <w:iCs w:val="false"/>
          <w:caps w:val="false"/>
          <w:color w:val="3A3A3A"/>
          <w:sz w:val="20"/>
          <w:szCs w:val="20"/>
        </w:rPr>
        <w:t xml:space="preserve">Partner shall not disclose information received from one Engagement Target to any other Engagement Target or to any third party without the Company's written consent.</w:t>
      </w:r>
    </w:p>
    <w:p>
      <w:pPr>
        <w:spacing w:after="60" w:before="180" w:line="276"/>
        <w:jc w:val="left"/>
      </w:pPr>
      <w:r>
        <w:rPr>
          <w:rFonts w:ascii="Arial" w:cs="Arial" w:eastAsia="Arial" w:hAnsi="Arial"/>
          <w:b/>
          <w:bCs/>
          <w:i w:val="false"/>
          <w:iCs w:val="false"/>
          <w:caps w:val="false"/>
          <w:color w:val="1A2E4A"/>
          <w:sz w:val="20"/>
          <w:szCs w:val="20"/>
        </w:rPr>
        <w:t xml:space="preserve">7.3  </w:t>
      </w:r>
      <w:r>
        <w:rPr>
          <w:rFonts w:ascii="Arial" w:cs="Arial" w:eastAsia="Arial" w:hAnsi="Arial"/>
          <w:b/>
          <w:bCs/>
          <w:i w:val="false"/>
          <w:iCs w:val="false"/>
          <w:caps w:val="false"/>
          <w:color w:val="5A5A5A"/>
          <w:sz w:val="20"/>
          <w:szCs w:val="20"/>
        </w:rPr>
        <w:t xml:space="preserve">Non-Solicitation.</w:t>
      </w:r>
    </w:p>
    <w:p>
      <w:pPr>
        <w:spacing w:after="60" w:before="60" w:line="300"/>
        <w:jc w:val="left"/>
      </w:pPr>
      <w:r>
        <w:rPr>
          <w:rFonts w:ascii="Arial" w:cs="Arial" w:eastAsia="Arial" w:hAnsi="Arial"/>
          <w:b w:val="false"/>
          <w:bCs w:val="false"/>
          <w:i w:val="false"/>
          <w:iCs w:val="false"/>
          <w:caps w:val="false"/>
          <w:color w:val="3A3A3A"/>
          <w:sz w:val="20"/>
          <w:szCs w:val="20"/>
        </w:rPr>
        <w:t xml:space="preserve">During the term and for twelve (12) months post-termination, Partner shall not solicit any employees, customers, or partners of the Company or any Engagement Target.</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VIII</w:t>
      </w:r>
      <w:r>
        <w:rPr>
          <w:rFonts w:ascii="Arial" w:cs="Arial" w:eastAsia="Arial" w:hAnsi="Arial"/>
          <w:b/>
          <w:bCs/>
          <w:i w:val="false"/>
          <w:iCs w:val="false"/>
          <w:caps w:val="false"/>
          <w:color w:val="1A2E4A"/>
          <w:sz w:val="22"/>
          <w:szCs w:val="22"/>
        </w:rPr>
        <w:t xml:space="preserve">    TERM AND TERMINATION</w:t>
      </w:r>
    </w:p>
    <w:p>
      <w:pPr>
        <w:spacing w:after="60" w:before="180" w:line="276"/>
        <w:jc w:val="left"/>
      </w:pPr>
      <w:r>
        <w:rPr>
          <w:rFonts w:ascii="Arial" w:cs="Arial" w:eastAsia="Arial" w:hAnsi="Arial"/>
          <w:b/>
          <w:bCs/>
          <w:i w:val="false"/>
          <w:iCs w:val="false"/>
          <w:caps w:val="false"/>
          <w:color w:val="1A2E4A"/>
          <w:sz w:val="20"/>
          <w:szCs w:val="20"/>
        </w:rPr>
        <w:t xml:space="preserve">8.1  </w:t>
      </w:r>
      <w:r>
        <w:rPr>
          <w:rFonts w:ascii="Arial" w:cs="Arial" w:eastAsia="Arial" w:hAnsi="Arial"/>
          <w:b/>
          <w:bCs/>
          <w:i w:val="false"/>
          <w:iCs w:val="false"/>
          <w:caps w:val="false"/>
          <w:color w:val="5A5A5A"/>
          <w:sz w:val="20"/>
          <w:szCs w:val="20"/>
        </w:rPr>
        <w:t xml:space="preserve">Term.</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shall be effective for [two (2)] years from the Effective Date, and shall automatically renew for one (1)-year periods unless either Party provides sixty (60) days' prior written notice.</w:t>
      </w:r>
    </w:p>
    <w:p>
      <w:pPr>
        <w:spacing w:after="60" w:before="180" w:line="276"/>
        <w:jc w:val="left"/>
      </w:pPr>
      <w:r>
        <w:rPr>
          <w:rFonts w:ascii="Arial" w:cs="Arial" w:eastAsia="Arial" w:hAnsi="Arial"/>
          <w:b/>
          <w:bCs/>
          <w:i w:val="false"/>
          <w:iCs w:val="false"/>
          <w:caps w:val="false"/>
          <w:color w:val="1A2E4A"/>
          <w:sz w:val="20"/>
          <w:szCs w:val="20"/>
        </w:rPr>
        <w:t xml:space="preserve">8.2  </w:t>
      </w:r>
      <w:r>
        <w:rPr>
          <w:rFonts w:ascii="Arial" w:cs="Arial" w:eastAsia="Arial" w:hAnsi="Arial"/>
          <w:b/>
          <w:bCs/>
          <w:i w:val="false"/>
          <w:iCs w:val="false"/>
          <w:caps w:val="false"/>
          <w:color w:val="5A5A5A"/>
          <w:sz w:val="20"/>
          <w:szCs w:val="20"/>
        </w:rPr>
        <w:t xml:space="preserve">SOW Termination.</w:t>
      </w:r>
    </w:p>
    <w:p>
      <w:pPr>
        <w:spacing w:after="60" w:before="60" w:line="300"/>
        <w:jc w:val="left"/>
      </w:pPr>
      <w:r>
        <w:rPr>
          <w:rFonts w:ascii="Arial" w:cs="Arial" w:eastAsia="Arial" w:hAnsi="Arial"/>
          <w:b w:val="false"/>
          <w:bCs w:val="false"/>
          <w:i w:val="false"/>
          <w:iCs w:val="false"/>
          <w:caps w:val="false"/>
          <w:color w:val="3A3A3A"/>
          <w:sz w:val="20"/>
          <w:szCs w:val="20"/>
        </w:rPr>
        <w:t xml:space="preserve">Either Party may terminate an individual SOW for convenience on thirty (30) days' notice. Equity vested prior to SOW termination shall be retained by Partner; unvested equity attributable to uncompleted milestones shall lapse.</w:t>
      </w:r>
    </w:p>
    <w:p>
      <w:pPr>
        <w:spacing w:after="60" w:before="180" w:line="276"/>
        <w:jc w:val="left"/>
      </w:pPr>
      <w:r>
        <w:rPr>
          <w:rFonts w:ascii="Arial" w:cs="Arial" w:eastAsia="Arial" w:hAnsi="Arial"/>
          <w:b/>
          <w:bCs/>
          <w:i w:val="false"/>
          <w:iCs w:val="false"/>
          <w:caps w:val="false"/>
          <w:color w:val="1A2E4A"/>
          <w:sz w:val="20"/>
          <w:szCs w:val="20"/>
        </w:rPr>
        <w:t xml:space="preserve">8.3  </w:t>
      </w:r>
      <w:r>
        <w:rPr>
          <w:rFonts w:ascii="Arial" w:cs="Arial" w:eastAsia="Arial" w:hAnsi="Arial"/>
          <w:b/>
          <w:bCs/>
          <w:i w:val="false"/>
          <w:iCs w:val="false"/>
          <w:caps w:val="false"/>
          <w:color w:val="5A5A5A"/>
          <w:sz w:val="20"/>
          <w:szCs w:val="20"/>
        </w:rPr>
        <w:t xml:space="preserve">Termination for Cause.</w:t>
      </w:r>
    </w:p>
    <w:p>
      <w:pPr>
        <w:spacing w:after="60" w:before="60" w:line="300"/>
        <w:jc w:val="left"/>
      </w:pPr>
      <w:r>
        <w:rPr>
          <w:rFonts w:ascii="Arial" w:cs="Arial" w:eastAsia="Arial" w:hAnsi="Arial"/>
          <w:b w:val="false"/>
          <w:bCs w:val="false"/>
          <w:i w:val="false"/>
          <w:iCs w:val="false"/>
          <w:caps w:val="false"/>
          <w:color w:val="3A3A3A"/>
          <w:sz w:val="20"/>
          <w:szCs w:val="20"/>
        </w:rPr>
        <w:t xml:space="preserve">The Company may terminate this Agreement immediately for Cause. All unvested equity is forfeited upon termination for Cause.</w:t>
      </w:r>
    </w:p>
    <w:p>
      <w:pPr>
        <w:spacing w:after="60" w:before="180" w:line="276"/>
        <w:jc w:val="left"/>
      </w:pPr>
      <w:r>
        <w:rPr>
          <w:rFonts w:ascii="Arial" w:cs="Arial" w:eastAsia="Arial" w:hAnsi="Arial"/>
          <w:b/>
          <w:bCs/>
          <w:i w:val="false"/>
          <w:iCs w:val="false"/>
          <w:caps w:val="false"/>
          <w:color w:val="1A2E4A"/>
          <w:sz w:val="20"/>
          <w:szCs w:val="20"/>
        </w:rPr>
        <w:t xml:space="preserve">8.4  </w:t>
      </w:r>
      <w:r>
        <w:rPr>
          <w:rFonts w:ascii="Arial" w:cs="Arial" w:eastAsia="Arial" w:hAnsi="Arial"/>
          <w:b/>
          <w:bCs/>
          <w:i w:val="false"/>
          <w:iCs w:val="false"/>
          <w:caps w:val="false"/>
          <w:color w:val="5A5A5A"/>
          <w:sz w:val="20"/>
          <w:szCs w:val="20"/>
        </w:rPr>
        <w:t xml:space="preserve">Effect of Termination.</w:t>
      </w:r>
    </w:p>
    <w:p>
      <w:pPr>
        <w:spacing w:after="60" w:before="60" w:line="300"/>
        <w:jc w:val="left"/>
      </w:pPr>
      <w:r>
        <w:rPr>
          <w:rFonts w:ascii="Arial" w:cs="Arial" w:eastAsia="Arial" w:hAnsi="Arial"/>
          <w:b w:val="false"/>
          <w:bCs w:val="false"/>
          <w:i w:val="false"/>
          <w:iCs w:val="false"/>
          <w:caps w:val="false"/>
          <w:color w:val="3A3A3A"/>
          <w:sz w:val="20"/>
          <w:szCs w:val="20"/>
        </w:rPr>
        <w:t xml:space="preserve">Upon termination: (a) Partner shall cease all Services; (b) all licences are revoked; (c) each Party shall return the other's Confidential Information; (d) accrued cash fees shall be paid within thirty (30) days.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IX</w:t>
      </w:r>
      <w:r>
        <w:rPr>
          <w:rFonts w:ascii="Arial" w:cs="Arial" w:eastAsia="Arial" w:hAnsi="Arial"/>
          <w:b/>
          <w:bCs/>
          <w:i w:val="false"/>
          <w:iCs w:val="false"/>
          <w:caps w:val="false"/>
          <w:color w:val="1A2E4A"/>
          <w:sz w:val="22"/>
          <w:szCs w:val="22"/>
        </w:rPr>
        <w:t xml:space="preserve">    DISPUTE RESOLUTION AND GENERAL</w:t>
      </w:r>
    </w:p>
    <w:p>
      <w:pPr>
        <w:spacing w:after="60" w:before="180" w:line="276"/>
        <w:jc w:val="left"/>
      </w:pPr>
      <w:r>
        <w:rPr>
          <w:rFonts w:ascii="Arial" w:cs="Arial" w:eastAsia="Arial" w:hAnsi="Arial"/>
          <w:b/>
          <w:bCs/>
          <w:i w:val="false"/>
          <w:iCs w:val="false"/>
          <w:caps w:val="false"/>
          <w:color w:val="1A2E4A"/>
          <w:sz w:val="20"/>
          <w:szCs w:val="20"/>
        </w:rPr>
        <w:t xml:space="preserve">9.1  </w:t>
      </w:r>
      <w:r>
        <w:rPr>
          <w:rFonts w:ascii="Arial" w:cs="Arial" w:eastAsia="Arial" w:hAnsi="Arial"/>
          <w:b/>
          <w:bCs/>
          <w:i w:val="false"/>
          <w:iCs w:val="false"/>
          <w:caps w:val="false"/>
          <w:color w:val="5A5A5A"/>
          <w:sz w:val="20"/>
          <w:szCs w:val="20"/>
        </w:rPr>
        <w:t xml:space="preserve">Milestone Disputes.</w:t>
      </w:r>
    </w:p>
    <w:p>
      <w:pPr>
        <w:spacing w:after="60" w:before="60" w:line="300"/>
        <w:jc w:val="left"/>
      </w:pPr>
      <w:r>
        <w:rPr>
          <w:rFonts w:ascii="Arial" w:cs="Arial" w:eastAsia="Arial" w:hAnsi="Arial"/>
          <w:b w:val="false"/>
          <w:bCs w:val="false"/>
          <w:i w:val="false"/>
          <w:iCs w:val="false"/>
          <w:caps w:val="false"/>
          <w:color w:val="3A3A3A"/>
          <w:sz w:val="20"/>
          <w:szCs w:val="20"/>
        </w:rPr>
        <w:t xml:space="preserve">If Partner disputes a milestone determination, it shall notify the Company within fifteen (15) Business Days of the determination. The Parties shall negotiate in good faith for thirty (30) days. If unresolved, the dispute shall be submitted to an independent expert agreed by both Parties.</w:t>
      </w:r>
    </w:p>
    <w:p>
      <w:pPr>
        <w:spacing w:after="60" w:before="180" w:line="276"/>
        <w:jc w:val="left"/>
      </w:pPr>
      <w:r>
        <w:rPr>
          <w:rFonts w:ascii="Arial" w:cs="Arial" w:eastAsia="Arial" w:hAnsi="Arial"/>
          <w:b/>
          <w:bCs/>
          <w:i w:val="false"/>
          <w:iCs w:val="false"/>
          <w:caps w:val="false"/>
          <w:color w:val="1A2E4A"/>
          <w:sz w:val="20"/>
          <w:szCs w:val="20"/>
        </w:rPr>
        <w:t xml:space="preserve">9.2  </w:t>
      </w:r>
      <w:r>
        <w:rPr>
          <w:rFonts w:ascii="Arial" w:cs="Arial" w:eastAsia="Arial" w:hAnsi="Arial"/>
          <w:b/>
          <w:bCs/>
          <w:i w:val="false"/>
          <w:iCs w:val="false"/>
          <w:caps w:val="false"/>
          <w:color w:val="5A5A5A"/>
          <w:sz w:val="20"/>
          <w:szCs w:val="20"/>
        </w:rPr>
        <w:t xml:space="preserve">Governing Law.</w:t>
      </w:r>
    </w:p>
    <w:p>
      <w:pPr>
        <w:spacing w:after="60" w:before="60" w:line="300"/>
        <w:jc w:val="left"/>
      </w:pPr>
      <w:r>
        <w:rPr>
          <w:rFonts w:ascii="Arial" w:cs="Arial" w:eastAsia="Arial" w:hAnsi="Arial"/>
          <w:b w:val="false"/>
          <w:bCs w:val="false"/>
          <w:i w:val="false"/>
          <w:iCs w:val="false"/>
          <w:caps w:val="false"/>
          <w:color w:val="3A3A3A"/>
          <w:sz w:val="20"/>
          <w:szCs w:val="20"/>
        </w:rPr>
        <w:t xml:space="preserve">Delaware law.</w:t>
      </w:r>
    </w:p>
    <w:p>
      <w:pPr>
        <w:spacing w:after="60" w:before="180" w:line="276"/>
        <w:jc w:val="left"/>
      </w:pPr>
      <w:r>
        <w:rPr>
          <w:rFonts w:ascii="Arial" w:cs="Arial" w:eastAsia="Arial" w:hAnsi="Arial"/>
          <w:b/>
          <w:bCs/>
          <w:i w:val="false"/>
          <w:iCs w:val="false"/>
          <w:caps w:val="false"/>
          <w:color w:val="1A2E4A"/>
          <w:sz w:val="20"/>
          <w:szCs w:val="20"/>
        </w:rPr>
        <w:t xml:space="preserve">9.3  </w:t>
      </w:r>
      <w:r>
        <w:rPr>
          <w:rFonts w:ascii="Arial" w:cs="Arial" w:eastAsia="Arial" w:hAnsi="Arial"/>
          <w:b/>
          <w:bCs/>
          <w:i w:val="false"/>
          <w:iCs w:val="false"/>
          <w:caps w:val="false"/>
          <w:color w:val="5A5A5A"/>
          <w:sz w:val="20"/>
          <w:szCs w:val="20"/>
        </w:rPr>
        <w:t xml:space="preserve">Arbitration.</w:t>
      </w:r>
    </w:p>
    <w:p>
      <w:pPr>
        <w:spacing w:after="60" w:before="60" w:line="300"/>
        <w:jc w:val="left"/>
      </w:pPr>
      <w:r>
        <w:rPr>
          <w:rFonts w:ascii="Arial" w:cs="Arial" w:eastAsia="Arial" w:hAnsi="Arial"/>
          <w:b w:val="false"/>
          <w:bCs w:val="false"/>
          <w:i w:val="false"/>
          <w:iCs w:val="false"/>
          <w:caps w:val="false"/>
          <w:color w:val="3A3A3A"/>
          <w:sz w:val="20"/>
          <w:szCs w:val="20"/>
        </w:rPr>
        <w:t xml:space="preserve">All other disputes: binding arbitration in New York under AAA Commercial Arbitration Rules.</w:t>
      </w:r>
    </w:p>
    <w:p>
      <w:pPr>
        <w:spacing w:after="60" w:before="180" w:line="276"/>
        <w:jc w:val="left"/>
      </w:pPr>
      <w:r>
        <w:rPr>
          <w:rFonts w:ascii="Arial" w:cs="Arial" w:eastAsia="Arial" w:hAnsi="Arial"/>
          <w:b/>
          <w:bCs/>
          <w:i w:val="false"/>
          <w:iCs w:val="false"/>
          <w:caps w:val="false"/>
          <w:color w:val="1A2E4A"/>
          <w:sz w:val="20"/>
          <w:szCs w:val="20"/>
        </w:rPr>
        <w:t xml:space="preserve">9.4  </w:t>
      </w:r>
      <w:r>
        <w:rPr>
          <w:rFonts w:ascii="Arial" w:cs="Arial" w:eastAsia="Arial" w:hAnsi="Arial"/>
          <w:b/>
          <w:bCs/>
          <w:i w:val="false"/>
          <w:iCs w:val="false"/>
          <w:caps w:val="false"/>
          <w:color w:val="5A5A5A"/>
          <w:sz w:val="20"/>
          <w:szCs w:val="20"/>
        </w:rPr>
        <w:t xml:space="preserve">Limitation of Liability.</w:t>
      </w:r>
    </w:p>
    <w:p>
      <w:pPr>
        <w:spacing w:after="60" w:before="60" w:line="300"/>
        <w:jc w:val="left"/>
      </w:pPr>
      <w:r>
        <w:rPr>
          <w:rFonts w:ascii="Arial" w:cs="Arial" w:eastAsia="Arial" w:hAnsi="Arial"/>
          <w:b w:val="false"/>
          <w:bCs w:val="false"/>
          <w:i w:val="false"/>
          <w:iCs w:val="false"/>
          <w:caps w:val="false"/>
          <w:color w:val="3A3A3A"/>
          <w:sz w:val="20"/>
          <w:szCs w:val="20"/>
        </w:rPr>
        <w:t xml:space="preserve">Neither Party shall be liable for indirect or consequential damages. Maximum aggregate liability = total cash fees paid in the twelve (12) months preceding the claim.</w:t>
      </w:r>
    </w:p>
    <w:p>
      <w:pPr>
        <w:spacing w:after="60" w:before="180" w:line="276"/>
        <w:jc w:val="left"/>
      </w:pPr>
      <w:r>
        <w:rPr>
          <w:rFonts w:ascii="Arial" w:cs="Arial" w:eastAsia="Arial" w:hAnsi="Arial"/>
          <w:b/>
          <w:bCs/>
          <w:i w:val="false"/>
          <w:iCs w:val="false"/>
          <w:caps w:val="false"/>
          <w:color w:val="1A2E4A"/>
          <w:sz w:val="20"/>
          <w:szCs w:val="20"/>
        </w:rPr>
        <w:t xml:space="preserve">9.5  </w:t>
      </w:r>
      <w:r>
        <w:rPr>
          <w:rFonts w:ascii="Arial" w:cs="Arial" w:eastAsia="Arial" w:hAnsi="Arial"/>
          <w:b/>
          <w:bCs/>
          <w:i w:val="false"/>
          <w:iCs w:val="false"/>
          <w:caps w:val="false"/>
          <w:color w:val="5A5A5A"/>
          <w:sz w:val="20"/>
          <w:szCs w:val="20"/>
        </w:rPr>
        <w:t xml:space="preserve">Entire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all SOWs, and Schedule A are the entire agreement of the Parties.</w:t>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SCHEDULE A — EQUITY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Total Partner Equity Grant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[___,000] Shares (or options for [___,000] Shares)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Grant Date Valuation</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USD [___,000] (based on [last round / 409A / agreed value])</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Milestone 1 — [Description]</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of Grant Amount vests on [DATE / upon achievement]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Milestone 2 — [Description]</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of Grant Amount vests on [DATE / upon achievement]</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Milestone 3 — [Description]</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of Grant Amount vests on [DATE / upon achievement]</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Time-Based Tranche</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vests monthly over [___] months from Grant Date</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Cure Period per Milestone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[30] days from missed milestone date before forfeiture</w:t>
            </w:r>
          </w:p>
        </w:tc>
      </w:tr>
    </w:tbl>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THE COMPANY</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StudioOS AI Holdings, Inc.</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OPERATING PARTNER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[Full Legal Name of Operating Partner]</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4" w:sz="4" w:space="4"/>
      </w:pBdr>
      <w:spacing w:after="0" w:before="0"/>
      <w:jc w:val="center"/>
    </w:pPr>
    <w:r>
      <w:rPr>
        <w:rFonts w:ascii="Arial" w:cs="Arial" w:eastAsia="Arial" w:hAnsi="Arial"/>
        <w:b w:val="false"/>
        <w:bCs w:val="false"/>
        <w:i w:val="false"/>
        <w:iCs w:val="false"/>
        <w:caps w:val="false"/>
        <w:color w:val="5A5A5A"/>
        <w:sz w:val="16"/>
        <w:szCs w:val="16"/>
      </w:rPr>
      <w:t xml:space="preserve">Confidential — StudioOS AI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4" w:sz="4" w:space="4"/>
      </w:pBdr>
      <w:spacing w:after="0" w:before="0"/>
      <w:jc w:val="left"/>
    </w:pPr>
    <w:r>
      <w:rPr>
        <w:rFonts w:ascii="Arial" w:cs="Arial" w:eastAsia="Arial" w:hAnsi="Arial"/>
        <w:b w:val="false"/>
        <w:bCs w:val="false"/>
        <w:i/>
        <w:iCs/>
        <w:caps w:val="false"/>
        <w:color w:val="5A5A5A"/>
        <w:sz w:val="16"/>
        <w:szCs w:val="16"/>
      </w:rPr>
      <w:t xml:space="preserve">MSA + Equity-for-Services (Operating Partner) — StudioOS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2E4A"/>
      <w:sz w:val="23"/>
      <w:szCs w:val="23"/>
    </w:rPr>
  </w:style>
  <w:style w:type="paragraph" w:styleId="Heading3">
    <w:name w:val="Heading 3"/>
    <w:basedOn w:val="Normal"/>
    <w:next w:val="Normal"/>
    <w:qFormat/>
    <w:pPr>
      <w:spacing w:after="60" w:before="180"/>
      <w:outlineLvl w:val="2"/>
    </w:pPr>
    <w:rPr>
      <w:rFonts w:ascii="Arial" w:cs="Arial" w:eastAsia="Arial" w:hAnsi="Arial"/>
      <w:b/>
      <w:bCs/>
      <w:color w:val="5A5A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2026-05-01T19:26:14.306Z</dcterms:created>
  <dcterms:modified xsi:type="dcterms:W3CDTF">2026-05-01T19:26:14.306Z</dcterms:modified>
</cp:coreProperties>
</file>

<file path=docProps/custom.xml><?xml version="1.0" encoding="utf-8"?>
<Properties xmlns="http://schemas.openxmlformats.org/officeDocument/2006/custom-properties" xmlns:vt="http://schemas.openxmlformats.org/officeDocument/2006/docPropsVTypes"/>
</file>