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Secondary Purchase Agreement</w:t>
      </w:r>
    </w:p>
    <w:p>
      <w:pPr>
        <w:spacing w:after="300" w:before="0"/>
        <w:jc w:val="center"/>
      </w:pPr>
      <w:r>
        <w:rPr>
          <w:rFonts w:ascii="Arial" w:cs="Arial" w:eastAsia="Arial" w:hAnsi="Arial"/>
          <w:b w:val="false"/>
          <w:bCs w:val="false"/>
          <w:i/>
          <w:iCs/>
          <w:caps w:val="false"/>
          <w:color w:val="5A5A5A"/>
          <w:sz w:val="22"/>
          <w:szCs w:val="22"/>
        </w:rPr>
        <w:t xml:space="preserve">LP Interest / Portfolio Equity Secondary Transfer</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Fund</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Venture Fund I, LP (the "Fund")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General Partner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GP, LLC (the "GP")</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Seller</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[SELLER FULL LEGAL NAME] (the "Seller")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Buyer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[BUYER FULL LEGAL NAME] (the "Buyer")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Interest Sold</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[DESCRIPTION: LP Interest / Portfolio Company Shares]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Purchase Price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Transfer Price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of [NAV / Fair Value] as of [DATE]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Closing Date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[DATE]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Delaware, United States of America</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SECONDARY PURCHASE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Secondary Purchase Agreement (this "Agreement") is entered into as of [DATE] (the "Effective Date") by and among StudioOS AI GP, LLC, a Delaware limited liability company, in its capacity as General Partner of StudioOS AI Venture Fund I, LP (the "General Partner"), [SELLER FULL LEGAL NAME] (the "Seller"), and [BUYER FULL LEGAL NAME] (the "Buyer"). The General Partner, Seller, and Buyer are each a "Party" and together the "Parties".</w:t>
      </w:r>
    </w:p>
    <w:p>
      <w:pPr>
        <w:spacing w:after="60" w:before="60" w:line="300"/>
        <w:jc w:val="left"/>
      </w:pPr>
      <w:r>
        <w:rPr>
          <w:rFonts w:ascii="Arial" w:cs="Arial" w:eastAsia="Arial" w:hAnsi="Arial"/>
          <w:b w:val="false"/>
          <w:bCs w:val="false"/>
          <w:i w:val="false"/>
          <w:iCs w:val="false"/>
          <w:caps w:val="false"/>
          <w:color w:val="3A3A3A"/>
          <w:sz w:val="20"/>
          <w:szCs w:val="20"/>
        </w:rPr>
        <w:t xml:space="preserve">WHEREAS, Seller holds [a limited partnership interest in the Fund / shares of Common Stock and/or Preferred Stock in [PORTFOLIO COMPANY NAME]] (the "Transferred Interest"); and</w:t>
      </w:r>
    </w:p>
    <w:p>
      <w:pPr>
        <w:spacing w:after="60" w:before="60" w:line="300"/>
        <w:jc w:val="left"/>
      </w:pPr>
      <w:r>
        <w:rPr>
          <w:rFonts w:ascii="Arial" w:cs="Arial" w:eastAsia="Arial" w:hAnsi="Arial"/>
          <w:b w:val="false"/>
          <w:bCs w:val="false"/>
          <w:i w:val="false"/>
          <w:iCs w:val="false"/>
          <w:caps w:val="false"/>
          <w:color w:val="3A3A3A"/>
          <w:sz w:val="20"/>
          <w:szCs w:val="20"/>
        </w:rPr>
        <w:t xml:space="preserve">WHEREAS, Seller desires to sell, and Buyer desires to purchase, the Transferred Interest on the terms set forth herein, subject to the transfer restrictions of the Fund's Limited Partnership Agreement (the "LPA") and with the consent of the General Partner;</w:t>
      </w:r>
    </w:p>
    <w:p>
      <w:pPr>
        <w:spacing w:after="60" w:before="60" w:line="300"/>
        <w:jc w:val="left"/>
      </w:pPr>
      <w:r>
        <w:rPr>
          <w:rFonts w:ascii="Arial" w:cs="Arial" w:eastAsia="Arial" w:hAnsi="Arial"/>
          <w:b w:val="false"/>
          <w:bCs w:val="false"/>
          <w:i w:val="false"/>
          <w:iCs w:val="false"/>
          <w:caps w:val="false"/>
          <w:color w:val="3A3A3A"/>
          <w:sz w:val="20"/>
          <w:szCs w:val="20"/>
        </w:rPr>
        <w:t xml:space="preserve">NOW, THEREFORE, in consideration of the mutual covenants herein, the parties agree as follows: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DEFINITIONS</w:t>
      </w:r>
    </w:p>
    <w:p>
      <w:pPr>
        <w:spacing w:after="55" w:before="55" w:line="290"/>
        <w:ind w:left="360" w:hanging="0"/>
        <w:jc w:val="left"/>
      </w:pPr>
      <w:r>
        <w:rPr>
          <w:rFonts w:ascii="Arial" w:cs="Arial" w:eastAsia="Arial" w:hAnsi="Arial"/>
          <w:b/>
          <w:bCs/>
          <w:i w:val="false"/>
          <w:iCs w:val="false"/>
          <w:caps w:val="false"/>
          <w:color w:val="1A2E4A"/>
          <w:sz w:val="20"/>
          <w:szCs w:val="20"/>
        </w:rPr>
        <w:t xml:space="preserve">"Capital Account Balance"</w:t>
      </w:r>
      <w:r>
        <w:rPr>
          <w:rFonts w:ascii="Arial" w:cs="Arial" w:eastAsia="Arial" w:hAnsi="Arial"/>
          <w:b w:val="false"/>
          <w:bCs w:val="false"/>
          <w:i w:val="false"/>
          <w:iCs w:val="false"/>
          <w:caps w:val="false"/>
          <w:color w:val="3A3A3A"/>
          <w:sz w:val="20"/>
          <w:szCs w:val="20"/>
        </w:rPr>
        <w:t xml:space="preserve"> means the Seller's Capital Account balance in the Fund as of the Transfer NAV Date, as certified by the General Partner.</w:t>
      </w:r>
    </w:p>
    <w:p>
      <w:pPr>
        <w:spacing w:after="55" w:before="55" w:line="290"/>
        <w:ind w:left="360" w:hanging="0"/>
        <w:jc w:val="left"/>
      </w:pPr>
      <w:r>
        <w:rPr>
          <w:rFonts w:ascii="Arial" w:cs="Arial" w:eastAsia="Arial" w:hAnsi="Arial"/>
          <w:b/>
          <w:bCs/>
          <w:i w:val="false"/>
          <w:iCs w:val="false"/>
          <w:caps w:val="false"/>
          <w:color w:val="1A2E4A"/>
          <w:sz w:val="20"/>
          <w:szCs w:val="20"/>
        </w:rPr>
        <w:t xml:space="preserve">"Carried Interest"</w:t>
      </w:r>
      <w:r>
        <w:rPr>
          <w:rFonts w:ascii="Arial" w:cs="Arial" w:eastAsia="Arial" w:hAnsi="Arial"/>
          <w:b w:val="false"/>
          <w:bCs w:val="false"/>
          <w:i w:val="false"/>
          <w:iCs w:val="false"/>
          <w:caps w:val="false"/>
          <w:color w:val="3A3A3A"/>
          <w:sz w:val="20"/>
          <w:szCs w:val="20"/>
        </w:rPr>
        <w:t xml:space="preserve"> means the carried interest obligation arising from distributions made to the Seller prior to the Transfer Date, as set forth in the LPA.</w:t>
      </w:r>
    </w:p>
    <w:p>
      <w:pPr>
        <w:spacing w:after="55" w:before="55" w:line="290"/>
        <w:ind w:left="360" w:hanging="0"/>
        <w:jc w:val="left"/>
      </w:pPr>
      <w:r>
        <w:rPr>
          <w:rFonts w:ascii="Arial" w:cs="Arial" w:eastAsia="Arial" w:hAnsi="Arial"/>
          <w:b/>
          <w:bCs/>
          <w:i w:val="false"/>
          <w:iCs w:val="false"/>
          <w:caps w:val="false"/>
          <w:color w:val="1A2E4A"/>
          <w:sz w:val="20"/>
          <w:szCs w:val="20"/>
        </w:rPr>
        <w:t xml:space="preserve">"Consent"</w:t>
      </w:r>
      <w:r>
        <w:rPr>
          <w:rFonts w:ascii="Arial" w:cs="Arial" w:eastAsia="Arial" w:hAnsi="Arial"/>
          <w:b w:val="false"/>
          <w:bCs w:val="false"/>
          <w:i w:val="false"/>
          <w:iCs w:val="false"/>
          <w:caps w:val="false"/>
          <w:color w:val="3A3A3A"/>
          <w:sz w:val="20"/>
          <w:szCs w:val="20"/>
        </w:rPr>
        <w:t xml:space="preserve"> means the General Partner's written consent to the transfer of the Transferred Interest, given pursuant to Article IV.</w:t>
      </w:r>
    </w:p>
    <w:p>
      <w:pPr>
        <w:spacing w:after="55" w:before="55" w:line="290"/>
        <w:ind w:left="360" w:hanging="0"/>
        <w:jc w:val="left"/>
      </w:pPr>
      <w:r>
        <w:rPr>
          <w:rFonts w:ascii="Arial" w:cs="Arial" w:eastAsia="Arial" w:hAnsi="Arial"/>
          <w:b/>
          <w:bCs/>
          <w:i w:val="false"/>
          <w:iCs w:val="false"/>
          <w:caps w:val="false"/>
          <w:color w:val="1A2E4A"/>
          <w:sz w:val="20"/>
          <w:szCs w:val="20"/>
        </w:rPr>
        <w:t xml:space="preserve">"Disclosure Package"</w:t>
      </w:r>
      <w:r>
        <w:rPr>
          <w:rFonts w:ascii="Arial" w:cs="Arial" w:eastAsia="Arial" w:hAnsi="Arial"/>
          <w:b w:val="false"/>
          <w:bCs w:val="false"/>
          <w:i w:val="false"/>
          <w:iCs w:val="false"/>
          <w:caps w:val="false"/>
          <w:color w:val="3A3A3A"/>
          <w:sz w:val="20"/>
          <w:szCs w:val="20"/>
        </w:rPr>
        <w:t xml:space="preserve"> means the information about the Fund and Portfolio Companies provided by the General Partner to Buyer in connection with this transaction, as listed in Schedule B.</w:t>
      </w:r>
    </w:p>
    <w:p>
      <w:pPr>
        <w:spacing w:after="55" w:before="55" w:line="290"/>
        <w:ind w:left="360" w:hanging="0"/>
        <w:jc w:val="left"/>
      </w:pPr>
      <w:r>
        <w:rPr>
          <w:rFonts w:ascii="Arial" w:cs="Arial" w:eastAsia="Arial" w:hAnsi="Arial"/>
          <w:b/>
          <w:bCs/>
          <w:i w:val="false"/>
          <w:iCs w:val="false"/>
          <w:caps w:val="false"/>
          <w:color w:val="1A2E4A"/>
          <w:sz w:val="20"/>
          <w:szCs w:val="20"/>
        </w:rPr>
        <w:t xml:space="preserve">"NAV"</w:t>
      </w:r>
      <w:r>
        <w:rPr>
          <w:rFonts w:ascii="Arial" w:cs="Arial" w:eastAsia="Arial" w:hAnsi="Arial"/>
          <w:b w:val="false"/>
          <w:bCs w:val="false"/>
          <w:i w:val="false"/>
          <w:iCs w:val="false"/>
          <w:caps w:val="false"/>
          <w:color w:val="3A3A3A"/>
          <w:sz w:val="20"/>
          <w:szCs w:val="20"/>
        </w:rPr>
        <w:t xml:space="preserve"> means the net asset value of the Transferred Interest as of the Transfer NAV Date, as determined by the General Partner in accordance with the Fund's valuation policy.</w:t>
      </w:r>
    </w:p>
    <w:p>
      <w:pPr>
        <w:spacing w:after="55" w:before="55" w:line="290"/>
        <w:ind w:left="360" w:hanging="0"/>
        <w:jc w:val="left"/>
      </w:pPr>
      <w:r>
        <w:rPr>
          <w:rFonts w:ascii="Arial" w:cs="Arial" w:eastAsia="Arial" w:hAnsi="Arial"/>
          <w:b/>
          <w:bCs/>
          <w:i w:val="false"/>
          <w:iCs w:val="false"/>
          <w:caps w:val="false"/>
          <w:color w:val="1A2E4A"/>
          <w:sz w:val="20"/>
          <w:szCs w:val="20"/>
        </w:rPr>
        <w:t xml:space="preserve">"Transfer NAV Date"</w:t>
      </w:r>
      <w:r>
        <w:rPr>
          <w:rFonts w:ascii="Arial" w:cs="Arial" w:eastAsia="Arial" w:hAnsi="Arial"/>
          <w:b w:val="false"/>
          <w:bCs w:val="false"/>
          <w:i w:val="false"/>
          <w:iCs w:val="false"/>
          <w:caps w:val="false"/>
          <w:color w:val="3A3A3A"/>
          <w:sz w:val="20"/>
          <w:szCs w:val="20"/>
        </w:rPr>
        <w:t xml:space="preserve"> means [DATE], being the most recent valuation date prior to the Effective Date.</w:t>
      </w:r>
    </w:p>
    <w:p>
      <w:pPr>
        <w:spacing w:after="55" w:before="55" w:line="290"/>
        <w:ind w:left="360" w:hanging="0"/>
        <w:jc w:val="left"/>
      </w:pPr>
      <w:r>
        <w:rPr>
          <w:rFonts w:ascii="Arial" w:cs="Arial" w:eastAsia="Arial" w:hAnsi="Arial"/>
          <w:b/>
          <w:bCs/>
          <w:i w:val="false"/>
          <w:iCs w:val="false"/>
          <w:caps w:val="false"/>
          <w:color w:val="1A2E4A"/>
          <w:sz w:val="20"/>
          <w:szCs w:val="20"/>
        </w:rPr>
        <w:t xml:space="preserve">"Transferred Interest"</w:t>
      </w:r>
      <w:r>
        <w:rPr>
          <w:rFonts w:ascii="Arial" w:cs="Arial" w:eastAsia="Arial" w:hAnsi="Arial"/>
          <w:b w:val="false"/>
          <w:bCs w:val="false"/>
          <w:i w:val="false"/>
          <w:iCs w:val="false"/>
          <w:caps w:val="false"/>
          <w:color w:val="3A3A3A"/>
          <w:sz w:val="20"/>
          <w:szCs w:val="20"/>
        </w:rPr>
        <w:t xml:space="preserve"> means as described in Schedule A, being either (a) a limited partnership interest in the Fund representing [___]% of the total LP interests, or (b) [___,000] shares of [Common / Preferred Stock] in [PORTFOLIO COMPANY NAME].</w:t>
      </w:r>
    </w:p>
    <w:p>
      <w:pPr>
        <w:spacing w:after="55" w:before="55" w:line="290"/>
        <w:ind w:left="360" w:hanging="0"/>
        <w:jc w:val="left"/>
      </w:pPr>
      <w:r>
        <w:rPr>
          <w:rFonts w:ascii="Arial" w:cs="Arial" w:eastAsia="Arial" w:hAnsi="Arial"/>
          <w:b/>
          <w:bCs/>
          <w:i w:val="false"/>
          <w:iCs w:val="false"/>
          <w:caps w:val="false"/>
          <w:color w:val="1A2E4A"/>
          <w:sz w:val="20"/>
          <w:szCs w:val="20"/>
        </w:rPr>
        <w:t xml:space="preserve">"ROFR Deadline"</w:t>
      </w:r>
      <w:r>
        <w:rPr>
          <w:rFonts w:ascii="Arial" w:cs="Arial" w:eastAsia="Arial" w:hAnsi="Arial"/>
          <w:b w:val="false"/>
          <w:bCs w:val="false"/>
          <w:i w:val="false"/>
          <w:iCs w:val="false"/>
          <w:caps w:val="false"/>
          <w:color w:val="3A3A3A"/>
          <w:sz w:val="20"/>
          <w:szCs w:val="20"/>
        </w:rPr>
        <w:t xml:space="preserve"> means the date by which the General Partner and other Limited Partners must exercise any right of first refusal, being [DATE].</w:t>
      </w:r>
    </w:p>
    <w:p>
      <w:pPr>
        <w:spacing w:after="55" w:before="55" w:line="290"/>
        <w:ind w:left="360" w:hanging="0"/>
        <w:jc w:val="left"/>
      </w:pPr>
      <w:r>
        <w:rPr>
          <w:rFonts w:ascii="Arial" w:cs="Arial" w:eastAsia="Arial" w:hAnsi="Arial"/>
          <w:b/>
          <w:bCs/>
          <w:i w:val="false"/>
          <w:iCs w:val="false"/>
          <w:caps w:val="false"/>
          <w:color w:val="1A2E4A"/>
          <w:sz w:val="20"/>
          <w:szCs w:val="20"/>
        </w:rPr>
        <w:t xml:space="preserve">"Transfer Date"</w:t>
      </w:r>
      <w:r>
        <w:rPr>
          <w:rFonts w:ascii="Arial" w:cs="Arial" w:eastAsia="Arial" w:hAnsi="Arial"/>
          <w:b w:val="false"/>
          <w:bCs w:val="false"/>
          <w:i w:val="false"/>
          <w:iCs w:val="false"/>
          <w:caps w:val="false"/>
          <w:color w:val="3A3A3A"/>
          <w:sz w:val="20"/>
          <w:szCs w:val="20"/>
        </w:rPr>
        <w:t xml:space="preserve"> means the date on which the transfer of the Transferred Interest is completed pursuant to Article III.</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SALE AND PURCHASE</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Agreement to Sell and Purchase.</w:t>
      </w:r>
    </w:p>
    <w:p>
      <w:pPr>
        <w:spacing w:after="60" w:before="60" w:line="300"/>
        <w:jc w:val="left"/>
      </w:pPr>
      <w:r>
        <w:rPr>
          <w:rFonts w:ascii="Arial" w:cs="Arial" w:eastAsia="Arial" w:hAnsi="Arial"/>
          <w:b w:val="false"/>
          <w:bCs w:val="false"/>
          <w:i w:val="false"/>
          <w:iCs w:val="false"/>
          <w:caps w:val="false"/>
          <w:color w:val="3A3A3A"/>
          <w:sz w:val="20"/>
          <w:szCs w:val="20"/>
        </w:rPr>
        <w:t xml:space="preserve">Subject to (a) the satisfaction of all conditions precedent in Article II, (b) receipt of the Consent, and (c) the expiry of any right of first refusal, Seller agrees to sell, transfer, and assign to Buyer the Transferred Interest, free and clear of all encumbrances (other than restrictions set forth in the LPA), and Buyer agrees to purchase and accept the Transferred Interest from Seller.</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Purchase Price.</w:t>
      </w:r>
    </w:p>
    <w:p>
      <w:pPr>
        <w:spacing w:after="60" w:before="60" w:line="300"/>
        <w:jc w:val="left"/>
      </w:pPr>
      <w:r>
        <w:rPr>
          <w:rFonts w:ascii="Arial" w:cs="Arial" w:eastAsia="Arial" w:hAnsi="Arial"/>
          <w:b w:val="false"/>
          <w:bCs w:val="false"/>
          <w:i w:val="false"/>
          <w:iCs w:val="false"/>
          <w:caps w:val="false"/>
          <w:color w:val="3A3A3A"/>
          <w:sz w:val="20"/>
          <w:szCs w:val="20"/>
        </w:rPr>
        <w:t xml:space="preserve">The purchase price for the Transferred Interest is USD [___,000] (the "Purchase Price"), calculated as [___]% of the NAV of the Transferred Interest as of the Transfer NAV Date. The Purchase Price has been agreed between Buyer and Seller, taking into account the illiquid nature of the Transferred Interest and any applicable discount.</w:t>
      </w:r>
    </w:p>
    <w:p>
      <w:pPr>
        <w:spacing w:after="60" w:before="180" w:line="276"/>
        <w:jc w:val="left"/>
      </w:pPr>
      <w:r>
        <w:rPr>
          <w:rFonts w:ascii="Arial" w:cs="Arial" w:eastAsia="Arial" w:hAnsi="Arial"/>
          <w:b/>
          <w:bCs/>
          <w:i w:val="false"/>
          <w:iCs w:val="false"/>
          <w:caps w:val="false"/>
          <w:color w:val="1A2E4A"/>
          <w:sz w:val="20"/>
          <w:szCs w:val="20"/>
        </w:rPr>
        <w:t xml:space="preserve">2.3  </w:t>
      </w:r>
      <w:r>
        <w:rPr>
          <w:rFonts w:ascii="Arial" w:cs="Arial" w:eastAsia="Arial" w:hAnsi="Arial"/>
          <w:b/>
          <w:bCs/>
          <w:i w:val="false"/>
          <w:iCs w:val="false"/>
          <w:caps w:val="false"/>
          <w:color w:val="5A5A5A"/>
          <w:sz w:val="20"/>
          <w:szCs w:val="20"/>
        </w:rPr>
        <w:t xml:space="preserve">Closing Adjustment.</w:t>
      </w:r>
    </w:p>
    <w:p>
      <w:pPr>
        <w:spacing w:after="60" w:before="60" w:line="300"/>
        <w:jc w:val="left"/>
      </w:pPr>
      <w:r>
        <w:rPr>
          <w:rFonts w:ascii="Arial" w:cs="Arial" w:eastAsia="Arial" w:hAnsi="Arial"/>
          <w:b w:val="false"/>
          <w:bCs w:val="false"/>
          <w:i w:val="false"/>
          <w:iCs w:val="false"/>
          <w:caps w:val="false"/>
          <w:color w:val="3A3A3A"/>
          <w:sz w:val="20"/>
          <w:szCs w:val="20"/>
        </w:rPr>
        <w:t xml:space="preserve">If the Fund makes any distribution to the Seller in respect of the Transferred Interest between the Transfer NAV Date and the Transfer Date, the Purchase Price shall be reduced by the net amount of such distribution.</w:t>
      </w:r>
    </w:p>
    <w:p>
      <w:pPr>
        <w:spacing w:after="60" w:before="180" w:line="276"/>
        <w:jc w:val="left"/>
      </w:pPr>
      <w:r>
        <w:rPr>
          <w:rFonts w:ascii="Arial" w:cs="Arial" w:eastAsia="Arial" w:hAnsi="Arial"/>
          <w:b/>
          <w:bCs/>
          <w:i w:val="false"/>
          <w:iCs w:val="false"/>
          <w:caps w:val="false"/>
          <w:color w:val="1A2E4A"/>
          <w:sz w:val="20"/>
          <w:szCs w:val="20"/>
        </w:rPr>
        <w:t xml:space="preserve">2.4  </w:t>
      </w:r>
      <w:r>
        <w:rPr>
          <w:rFonts w:ascii="Arial" w:cs="Arial" w:eastAsia="Arial" w:hAnsi="Arial"/>
          <w:b/>
          <w:bCs/>
          <w:i w:val="false"/>
          <w:iCs w:val="false"/>
          <w:caps w:val="false"/>
          <w:color w:val="5A5A5A"/>
          <w:sz w:val="20"/>
          <w:szCs w:val="20"/>
        </w:rPr>
        <w:t xml:space="preserve">Transfer of Unfunded Commitment.</w:t>
      </w:r>
    </w:p>
    <w:p>
      <w:pPr>
        <w:spacing w:after="60" w:before="60" w:line="300"/>
        <w:jc w:val="left"/>
      </w:pPr>
      <w:r>
        <w:rPr>
          <w:rFonts w:ascii="Arial" w:cs="Arial" w:eastAsia="Arial" w:hAnsi="Arial"/>
          <w:b w:val="false"/>
          <w:bCs w:val="false"/>
          <w:i w:val="false"/>
          <w:iCs w:val="false"/>
          <w:caps w:val="false"/>
          <w:color w:val="3A3A3A"/>
          <w:sz w:val="20"/>
          <w:szCs w:val="20"/>
        </w:rPr>
        <w:t xml:space="preserve">(a) The Transferred Interest includes the Seller's remaining unfunded capital commitment to the Fund as of the Transfer NAV Date (the "Unfunded Commitment"), as set forth in Schedule A.
(b) Buyer hereby assumes the Unfunded Commitment and agrees to fund all future capital calls in respect of the Transferred Interest from and after the Transfer Date.
(c) The Purchase Price has been calculated net of the Unfunded Commitment.</w:t>
      </w:r>
    </w:p>
    <w:p>
      <w:pPr>
        <w:spacing w:after="60" w:before="180" w:line="276"/>
        <w:jc w:val="left"/>
      </w:pPr>
      <w:r>
        <w:rPr>
          <w:rFonts w:ascii="Arial" w:cs="Arial" w:eastAsia="Arial" w:hAnsi="Arial"/>
          <w:b/>
          <w:bCs/>
          <w:i w:val="false"/>
          <w:iCs w:val="false"/>
          <w:caps w:val="false"/>
          <w:color w:val="1A2E4A"/>
          <w:sz w:val="20"/>
          <w:szCs w:val="20"/>
        </w:rPr>
        <w:t xml:space="preserve">2.5  </w:t>
      </w:r>
      <w:r>
        <w:rPr>
          <w:rFonts w:ascii="Arial" w:cs="Arial" w:eastAsia="Arial" w:hAnsi="Arial"/>
          <w:b/>
          <w:bCs/>
          <w:i w:val="false"/>
          <w:iCs w:val="false"/>
          <w:caps w:val="false"/>
          <w:color w:val="5A5A5A"/>
          <w:sz w:val="20"/>
          <w:szCs w:val="20"/>
        </w:rPr>
        <w:t xml:space="preserve">Carry Attribution.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Parties acknowledge that the Transferred Interest carries with it: (a) the right to receive distributions in respect of the Fund's future realizations; and (b) the obligation to contribute to any Clawback as described in the LPA. Buyer assumes both the benefit and burden of Carried Interest attribution arising from events occurring after the Transfer Date.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CLOSING MECHANICS</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Conditions Precedent.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Closing of the transfer of the Transferred Interest is conditional upon: (a) receipt of the General Partner's written Consent pursuant to Article IV; (b) expiry (or earlier waiver) of the ROFR period; (c) completion of KYC/AML procedures for Buyer to the satisfaction of the General Partner; (d) Buyer's execution of a deed of adherence to the LPA; (e) delivery of all required transfer documentation; and (f) payment of the Purchase Price.</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Transfer Documents.</w:t>
      </w:r>
    </w:p>
    <w:p>
      <w:pPr>
        <w:spacing w:after="60" w:before="60" w:line="300"/>
        <w:jc w:val="left"/>
      </w:pPr>
      <w:r>
        <w:rPr>
          <w:rFonts w:ascii="Arial" w:cs="Arial" w:eastAsia="Arial" w:hAnsi="Arial"/>
          <w:b w:val="false"/>
          <w:bCs w:val="false"/>
          <w:i w:val="false"/>
          <w:iCs w:val="false"/>
          <w:caps w:val="false"/>
          <w:color w:val="3A3A3A"/>
          <w:sz w:val="20"/>
          <w:szCs w:val="20"/>
        </w:rPr>
        <w:t xml:space="preserve">At Closing, the Parties shall execute and deliver: (a) a Transfer Agreement in the form attached as Exhibit A, by which Buyer is admitted as a substitute Limited Partner (subject to the General Partner's Consent); (b) a Deed of Adherence to the LPA executed by Buyer; (c) evidence of Buyer's qualification as an accredited investor / qualified purchaser; (d) completed KYC/AML documentation for Buyer; (e) a FIRPTA certificate from Seller (if applicable); (f) updated Schedule A to the LPA, reflecting the transfer.</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Payment.</w:t>
      </w:r>
    </w:p>
    <w:p>
      <w:pPr>
        <w:spacing w:after="60" w:before="60" w:line="300"/>
        <w:jc w:val="left"/>
      </w:pPr>
      <w:r>
        <w:rPr>
          <w:rFonts w:ascii="Arial" w:cs="Arial" w:eastAsia="Arial" w:hAnsi="Arial"/>
          <w:b w:val="false"/>
          <w:bCs w:val="false"/>
          <w:i w:val="false"/>
          <w:iCs w:val="false"/>
          <w:caps w:val="false"/>
          <w:color w:val="3A3A3A"/>
          <w:sz w:val="20"/>
          <w:szCs w:val="20"/>
        </w:rPr>
        <w:t xml:space="preserve">At Closing, Buyer shall pay the Purchase Price by wire transfer of immediately available funds to the account designated by Seller in writing at least three (3) Business Days prior to Closing.</w:t>
      </w:r>
    </w:p>
    <w:p>
      <w:pPr>
        <w:spacing w:after="60" w:before="180" w:line="276"/>
        <w:jc w:val="left"/>
      </w:pPr>
      <w:r>
        <w:rPr>
          <w:rFonts w:ascii="Arial" w:cs="Arial" w:eastAsia="Arial" w:hAnsi="Arial"/>
          <w:b/>
          <w:bCs/>
          <w:i w:val="false"/>
          <w:iCs w:val="false"/>
          <w:caps w:val="false"/>
          <w:color w:val="1A2E4A"/>
          <w:sz w:val="20"/>
          <w:szCs w:val="20"/>
        </w:rPr>
        <w:t xml:space="preserve">3.4  </w:t>
      </w:r>
      <w:r>
        <w:rPr>
          <w:rFonts w:ascii="Arial" w:cs="Arial" w:eastAsia="Arial" w:hAnsi="Arial"/>
          <w:b/>
          <w:bCs/>
          <w:i w:val="false"/>
          <w:iCs w:val="false"/>
          <w:caps w:val="false"/>
          <w:color w:val="5A5A5A"/>
          <w:sz w:val="20"/>
          <w:szCs w:val="20"/>
        </w:rPr>
        <w:t xml:space="preserve">Transfer Date.</w:t>
      </w:r>
    </w:p>
    <w:p>
      <w:pPr>
        <w:spacing w:after="60" w:before="60" w:line="300"/>
        <w:jc w:val="left"/>
      </w:pPr>
      <w:r>
        <w:rPr>
          <w:rFonts w:ascii="Arial" w:cs="Arial" w:eastAsia="Arial" w:hAnsi="Arial"/>
          <w:b w:val="false"/>
          <w:bCs w:val="false"/>
          <w:i w:val="false"/>
          <w:iCs w:val="false"/>
          <w:caps w:val="false"/>
          <w:color w:val="3A3A3A"/>
          <w:sz w:val="20"/>
          <w:szCs w:val="20"/>
        </w:rPr>
        <w:t xml:space="preserve">The Transfer Date shall be the date on which: (a) all conditions precedent have been satisfied or waived; and (b) the Purchase Price has been received by Seller.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CONSENT OF GENERAL PARTNER</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GP Consent.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confirms its consent to the transfer of the Transferred Interest from Seller to Buyer, subject to: (a) Buyer satisfying all investor qualification requirements applicable to Limited Partners; (b) the transfer not causing any adverse tax, regulatory, or ERISA consequences for the Fund or other Limited Partners; (c) payment of the Transfer Fee in Section 4.2; and (d) Buyer executing the Deed of Adherence.</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Transfer Fee.</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shall pay the General Partner a transfer processing fee of USD [___] in connection with this secondary transfer, payable at Closing. This fee covers the administrative costs of the transfer, including KYC review, legal review, and LPA amendment.</w:t>
      </w:r>
    </w:p>
    <w:p>
      <w:pPr>
        <w:spacing w:after="60" w:before="180" w:line="276"/>
        <w:jc w:val="left"/>
      </w:pPr>
      <w:r>
        <w:rPr>
          <w:rFonts w:ascii="Arial" w:cs="Arial" w:eastAsia="Arial" w:hAnsi="Arial"/>
          <w:b/>
          <w:bCs/>
          <w:i w:val="false"/>
          <w:iCs w:val="false"/>
          <w:caps w:val="false"/>
          <w:color w:val="1A2E4A"/>
          <w:sz w:val="20"/>
          <w:szCs w:val="20"/>
        </w:rPr>
        <w:t xml:space="preserve">4.3  </w:t>
      </w:r>
      <w:r>
        <w:rPr>
          <w:rFonts w:ascii="Arial" w:cs="Arial" w:eastAsia="Arial" w:hAnsi="Arial"/>
          <w:b/>
          <w:bCs/>
          <w:i w:val="false"/>
          <w:iCs w:val="false"/>
          <w:caps w:val="false"/>
          <w:color w:val="5A5A5A"/>
          <w:sz w:val="20"/>
          <w:szCs w:val="20"/>
        </w:rPr>
        <w:t xml:space="preserve">Right of First Refusal.</w:t>
      </w:r>
    </w:p>
    <w:p>
      <w:pPr>
        <w:spacing w:after="60" w:before="60" w:line="300"/>
        <w:jc w:val="left"/>
      </w:pPr>
      <w:r>
        <w:rPr>
          <w:rFonts w:ascii="Arial" w:cs="Arial" w:eastAsia="Arial" w:hAnsi="Arial"/>
          <w:b w:val="false"/>
          <w:bCs w:val="false"/>
          <w:i w:val="false"/>
          <w:iCs w:val="false"/>
          <w:caps w:val="false"/>
          <w:color w:val="3A3A3A"/>
          <w:sz w:val="20"/>
          <w:szCs w:val="20"/>
        </w:rPr>
        <w:t xml:space="preserve">(a) Pursuant to the LPA, the General Partner and other Limited Partners had a right of first refusal to purchase the Transferred Interest at the Purchase Price.
(b) By executing this Agreement, the General Partner confirms that: (i) the LPA's ROFR procedure was followed; and (ii) the ROFR has been waived by all eligible parties or has expired without exercise.
(c) Evidence of ROFR waiver or expiry is attached as Exhibit B.</w:t>
      </w:r>
    </w:p>
    <w:p>
      <w:pPr>
        <w:spacing w:after="60" w:before="180" w:line="276"/>
        <w:jc w:val="left"/>
      </w:pPr>
      <w:r>
        <w:rPr>
          <w:rFonts w:ascii="Arial" w:cs="Arial" w:eastAsia="Arial" w:hAnsi="Arial"/>
          <w:b/>
          <w:bCs/>
          <w:i w:val="false"/>
          <w:iCs w:val="false"/>
          <w:caps w:val="false"/>
          <w:color w:val="1A2E4A"/>
          <w:sz w:val="20"/>
          <w:szCs w:val="20"/>
        </w:rPr>
        <w:t xml:space="preserve">4.4  </w:t>
      </w:r>
      <w:r>
        <w:rPr>
          <w:rFonts w:ascii="Arial" w:cs="Arial" w:eastAsia="Arial" w:hAnsi="Arial"/>
          <w:b/>
          <w:bCs/>
          <w:i w:val="false"/>
          <w:iCs w:val="false"/>
          <w:caps w:val="false"/>
          <w:color w:val="5A5A5A"/>
          <w:sz w:val="20"/>
          <w:szCs w:val="20"/>
        </w:rPr>
        <w:t xml:space="preserve">Admission of Buyer.</w:t>
      </w:r>
    </w:p>
    <w:p>
      <w:pPr>
        <w:spacing w:after="60" w:before="60" w:line="300"/>
        <w:jc w:val="left"/>
      </w:pPr>
      <w:r>
        <w:rPr>
          <w:rFonts w:ascii="Arial" w:cs="Arial" w:eastAsia="Arial" w:hAnsi="Arial"/>
          <w:b w:val="false"/>
          <w:bCs w:val="false"/>
          <w:i w:val="false"/>
          <w:iCs w:val="false"/>
          <w:caps w:val="false"/>
          <w:color w:val="3A3A3A"/>
          <w:sz w:val="20"/>
          <w:szCs w:val="20"/>
        </w:rPr>
        <w:t xml:space="preserve">Upon satisfaction of the conditions in Section 4.1, the General Partner shall admit Buyer as a substitute Limited Partner with respect to the Transferred Interest, effective as of the Transfer Date. The General Partner shall update the Fund's register of Limited Partners to reflect the transfer.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SELLER REPRESENTATIONS AND WARRANTIES</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Title.</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is the sole legal and beneficial owner of the Transferred Interest, free and clear of all encumbrances. Seller has not pledged or encumbered the Transferred Interest.</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Authority.</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has full power and authority to sell the Transferred Interest. This Agreement has been duly authorized and is binding on Seller.</w:t>
      </w:r>
    </w:p>
    <w:p>
      <w:pPr>
        <w:spacing w:after="60" w:before="180" w:line="276"/>
        <w:jc w:val="left"/>
      </w:pPr>
      <w:r>
        <w:rPr>
          <w:rFonts w:ascii="Arial" w:cs="Arial" w:eastAsia="Arial" w:hAnsi="Arial"/>
          <w:b/>
          <w:bCs/>
          <w:i w:val="false"/>
          <w:iCs w:val="false"/>
          <w:caps w:val="false"/>
          <w:color w:val="1A2E4A"/>
          <w:sz w:val="20"/>
          <w:szCs w:val="20"/>
        </w:rPr>
        <w:t xml:space="preserve">5.3  </w:t>
      </w:r>
      <w:r>
        <w:rPr>
          <w:rFonts w:ascii="Arial" w:cs="Arial" w:eastAsia="Arial" w:hAnsi="Arial"/>
          <w:b/>
          <w:bCs/>
          <w:i w:val="false"/>
          <w:iCs w:val="false"/>
          <w:caps w:val="false"/>
          <w:color w:val="5A5A5A"/>
          <w:sz w:val="20"/>
          <w:szCs w:val="20"/>
        </w:rPr>
        <w:t xml:space="preserve">No Defaults.</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is not a Defaulting Limited Partner and has no outstanding overdue capital contributions.</w:t>
      </w:r>
    </w:p>
    <w:p>
      <w:pPr>
        <w:spacing w:after="60" w:before="180" w:line="276"/>
        <w:jc w:val="left"/>
      </w:pPr>
      <w:r>
        <w:rPr>
          <w:rFonts w:ascii="Arial" w:cs="Arial" w:eastAsia="Arial" w:hAnsi="Arial"/>
          <w:b/>
          <w:bCs/>
          <w:i w:val="false"/>
          <w:iCs w:val="false"/>
          <w:caps w:val="false"/>
          <w:color w:val="1A2E4A"/>
          <w:sz w:val="20"/>
          <w:szCs w:val="20"/>
        </w:rPr>
        <w:t xml:space="preserve">5.4  </w:t>
      </w:r>
      <w:r>
        <w:rPr>
          <w:rFonts w:ascii="Arial" w:cs="Arial" w:eastAsia="Arial" w:hAnsi="Arial"/>
          <w:b/>
          <w:bCs/>
          <w:i w:val="false"/>
          <w:iCs w:val="false"/>
          <w:caps w:val="false"/>
          <w:color w:val="5A5A5A"/>
          <w:sz w:val="20"/>
          <w:szCs w:val="20"/>
        </w:rPr>
        <w:t xml:space="preserve">No Other Agreements.</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has not entered into any agreement to transfer the Transferred Interest to any other party.</w:t>
      </w:r>
    </w:p>
    <w:p>
      <w:pPr>
        <w:spacing w:after="60" w:before="180" w:line="276"/>
        <w:jc w:val="left"/>
      </w:pPr>
      <w:r>
        <w:rPr>
          <w:rFonts w:ascii="Arial" w:cs="Arial" w:eastAsia="Arial" w:hAnsi="Arial"/>
          <w:b/>
          <w:bCs/>
          <w:i w:val="false"/>
          <w:iCs w:val="false"/>
          <w:caps w:val="false"/>
          <w:color w:val="1A2E4A"/>
          <w:sz w:val="20"/>
          <w:szCs w:val="20"/>
        </w:rPr>
        <w:t xml:space="preserve">5.5  </w:t>
      </w:r>
      <w:r>
        <w:rPr>
          <w:rFonts w:ascii="Arial" w:cs="Arial" w:eastAsia="Arial" w:hAnsi="Arial"/>
          <w:b/>
          <w:bCs/>
          <w:i w:val="false"/>
          <w:iCs w:val="false"/>
          <w:caps w:val="false"/>
          <w:color w:val="5A5A5A"/>
          <w:sz w:val="20"/>
          <w:szCs w:val="20"/>
        </w:rPr>
        <w:t xml:space="preserve">Information.</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has not received any material non-public information regarding the Fund or Portfolio Companies other than as disclosed in the Disclosure Package.</w:t>
      </w:r>
    </w:p>
    <w:p>
      <w:pPr>
        <w:spacing w:after="60" w:before="180" w:line="276"/>
        <w:jc w:val="left"/>
      </w:pPr>
      <w:r>
        <w:rPr>
          <w:rFonts w:ascii="Arial" w:cs="Arial" w:eastAsia="Arial" w:hAnsi="Arial"/>
          <w:b/>
          <w:bCs/>
          <w:i w:val="false"/>
          <w:iCs w:val="false"/>
          <w:caps w:val="false"/>
          <w:color w:val="1A2E4A"/>
          <w:sz w:val="20"/>
          <w:szCs w:val="20"/>
        </w:rPr>
        <w:t xml:space="preserve">5.6  </w:t>
      </w:r>
      <w:r>
        <w:rPr>
          <w:rFonts w:ascii="Arial" w:cs="Arial" w:eastAsia="Arial" w:hAnsi="Arial"/>
          <w:b/>
          <w:bCs/>
          <w:i w:val="false"/>
          <w:iCs w:val="false"/>
          <w:caps w:val="false"/>
          <w:color w:val="5A5A5A"/>
          <w:sz w:val="20"/>
          <w:szCs w:val="20"/>
        </w:rPr>
        <w:t xml:space="preserve">Compliance with LPA.</w:t>
      </w:r>
    </w:p>
    <w:p>
      <w:pPr>
        <w:spacing w:after="60" w:before="60" w:line="300"/>
        <w:jc w:val="left"/>
      </w:pPr>
      <w:r>
        <w:rPr>
          <w:rFonts w:ascii="Arial" w:cs="Arial" w:eastAsia="Arial" w:hAnsi="Arial"/>
          <w:b w:val="false"/>
          <w:bCs w:val="false"/>
          <w:i w:val="false"/>
          <w:iCs w:val="false"/>
          <w:caps w:val="false"/>
          <w:color w:val="3A3A3A"/>
          <w:sz w:val="20"/>
          <w:szCs w:val="20"/>
        </w:rPr>
        <w:t xml:space="preserve">The transfer has been effected in compliance with all applicable provisions of the LPA.</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w:t>
      </w:r>
      <w:r>
        <w:rPr>
          <w:rFonts w:ascii="Arial" w:cs="Arial" w:eastAsia="Arial" w:hAnsi="Arial"/>
          <w:b/>
          <w:bCs/>
          <w:i w:val="false"/>
          <w:iCs w:val="false"/>
          <w:caps w:val="false"/>
          <w:color w:val="1A2E4A"/>
          <w:sz w:val="22"/>
          <w:szCs w:val="22"/>
        </w:rPr>
        <w:t xml:space="preserve">    BUYER REPRESENTATIONS AND WARRANTIES</w:t>
      </w:r>
    </w:p>
    <w:p>
      <w:pPr>
        <w:spacing w:after="60" w:before="180" w:line="276"/>
        <w:jc w:val="left"/>
      </w:pPr>
      <w:r>
        <w:rPr>
          <w:rFonts w:ascii="Arial" w:cs="Arial" w:eastAsia="Arial" w:hAnsi="Arial"/>
          <w:b/>
          <w:bCs/>
          <w:i w:val="false"/>
          <w:iCs w:val="false"/>
          <w:caps w:val="false"/>
          <w:color w:val="1A2E4A"/>
          <w:sz w:val="20"/>
          <w:szCs w:val="20"/>
        </w:rPr>
        <w:t xml:space="preserve">6.1  </w:t>
      </w:r>
      <w:r>
        <w:rPr>
          <w:rFonts w:ascii="Arial" w:cs="Arial" w:eastAsia="Arial" w:hAnsi="Arial"/>
          <w:b/>
          <w:bCs/>
          <w:i w:val="false"/>
          <w:iCs w:val="false"/>
          <w:caps w:val="false"/>
          <w:color w:val="5A5A5A"/>
          <w:sz w:val="20"/>
          <w:szCs w:val="20"/>
        </w:rPr>
        <w:t xml:space="preserve">Authorization.</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has full power and authority to purchase the Transferred Interest. This Agreement has been duly authorized and constitutes a valid and binding obligation of Buyer.</w:t>
      </w:r>
    </w:p>
    <w:p>
      <w:pPr>
        <w:spacing w:after="60" w:before="180" w:line="276"/>
        <w:jc w:val="left"/>
      </w:pPr>
      <w:r>
        <w:rPr>
          <w:rFonts w:ascii="Arial" w:cs="Arial" w:eastAsia="Arial" w:hAnsi="Arial"/>
          <w:b/>
          <w:bCs/>
          <w:i w:val="false"/>
          <w:iCs w:val="false"/>
          <w:caps w:val="false"/>
          <w:color w:val="1A2E4A"/>
          <w:sz w:val="20"/>
          <w:szCs w:val="20"/>
        </w:rPr>
        <w:t xml:space="preserve">6.2  </w:t>
      </w:r>
      <w:r>
        <w:rPr>
          <w:rFonts w:ascii="Arial" w:cs="Arial" w:eastAsia="Arial" w:hAnsi="Arial"/>
          <w:b/>
          <w:bCs/>
          <w:i w:val="false"/>
          <w:iCs w:val="false"/>
          <w:caps w:val="false"/>
          <w:color w:val="5A5A5A"/>
          <w:sz w:val="20"/>
          <w:szCs w:val="20"/>
        </w:rPr>
        <w:t xml:space="preserve">Investor Qualification.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is an accredited investor and/or qualified purchaser within the meaning of applicable securities laws and satisfies all investor qualification requirements of the LPA.</w:t>
      </w:r>
    </w:p>
    <w:p>
      <w:pPr>
        <w:spacing w:after="60" w:before="180" w:line="276"/>
        <w:jc w:val="left"/>
      </w:pPr>
      <w:r>
        <w:rPr>
          <w:rFonts w:ascii="Arial" w:cs="Arial" w:eastAsia="Arial" w:hAnsi="Arial"/>
          <w:b/>
          <w:bCs/>
          <w:i w:val="false"/>
          <w:iCs w:val="false"/>
          <w:caps w:val="false"/>
          <w:color w:val="1A2E4A"/>
          <w:sz w:val="20"/>
          <w:szCs w:val="20"/>
        </w:rPr>
        <w:t xml:space="preserve">6.3  </w:t>
      </w:r>
      <w:r>
        <w:rPr>
          <w:rFonts w:ascii="Arial" w:cs="Arial" w:eastAsia="Arial" w:hAnsi="Arial"/>
          <w:b/>
          <w:bCs/>
          <w:i w:val="false"/>
          <w:iCs w:val="false"/>
          <w:caps w:val="false"/>
          <w:color w:val="5A5A5A"/>
          <w:sz w:val="20"/>
          <w:szCs w:val="20"/>
        </w:rPr>
        <w:t xml:space="preserve">Independent Assessment.</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has independently assessed the value of the Transferred Interest and has not relied on the General Partner or any other party for investment advice. Buyer acknowledges that: (a) the Transferred Interest is illiquid; (b) there can be no assurance of any return of capital; and (c) Buyer may lose its entire investment.</w:t>
      </w:r>
    </w:p>
    <w:p>
      <w:pPr>
        <w:spacing w:after="60" w:before="180" w:line="276"/>
        <w:jc w:val="left"/>
      </w:pPr>
      <w:r>
        <w:rPr>
          <w:rFonts w:ascii="Arial" w:cs="Arial" w:eastAsia="Arial" w:hAnsi="Arial"/>
          <w:b/>
          <w:bCs/>
          <w:i w:val="false"/>
          <w:iCs w:val="false"/>
          <w:caps w:val="false"/>
          <w:color w:val="1A2E4A"/>
          <w:sz w:val="20"/>
          <w:szCs w:val="20"/>
        </w:rPr>
        <w:t xml:space="preserve">6.4  </w:t>
      </w:r>
      <w:r>
        <w:rPr>
          <w:rFonts w:ascii="Arial" w:cs="Arial" w:eastAsia="Arial" w:hAnsi="Arial"/>
          <w:b/>
          <w:bCs/>
          <w:i w:val="false"/>
          <w:iCs w:val="false"/>
          <w:caps w:val="false"/>
          <w:color w:val="5A5A5A"/>
          <w:sz w:val="20"/>
          <w:szCs w:val="20"/>
        </w:rPr>
        <w:t xml:space="preserve">Review of Documents.</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has received, reviewed, and accepted all documents relating to the Fund, including the LPA, subscription agreement, and all financial reports, and accepts all obligations of the Seller as a Limited Partner.</w:t>
      </w:r>
    </w:p>
    <w:p>
      <w:pPr>
        <w:spacing w:after="60" w:before="180" w:line="276"/>
        <w:jc w:val="left"/>
      </w:pPr>
      <w:r>
        <w:rPr>
          <w:rFonts w:ascii="Arial" w:cs="Arial" w:eastAsia="Arial" w:hAnsi="Arial"/>
          <w:b/>
          <w:bCs/>
          <w:i w:val="false"/>
          <w:iCs w:val="false"/>
          <w:caps w:val="false"/>
          <w:color w:val="1A2E4A"/>
          <w:sz w:val="20"/>
          <w:szCs w:val="20"/>
        </w:rPr>
        <w:t xml:space="preserve">6.5  </w:t>
      </w:r>
      <w:r>
        <w:rPr>
          <w:rFonts w:ascii="Arial" w:cs="Arial" w:eastAsia="Arial" w:hAnsi="Arial"/>
          <w:b/>
          <w:bCs/>
          <w:i w:val="false"/>
          <w:iCs w:val="false"/>
          <w:caps w:val="false"/>
          <w:color w:val="5A5A5A"/>
          <w:sz w:val="20"/>
          <w:szCs w:val="20"/>
        </w:rPr>
        <w:t xml:space="preserve">No Sanctions.</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is not subject to any applicable economic sanctions or anti-money laundering restrictions.</w:t>
      </w:r>
    </w:p>
    <w:p>
      <w:pPr>
        <w:spacing w:after="60" w:before="180" w:line="276"/>
        <w:jc w:val="left"/>
      </w:pPr>
      <w:r>
        <w:rPr>
          <w:rFonts w:ascii="Arial" w:cs="Arial" w:eastAsia="Arial" w:hAnsi="Arial"/>
          <w:b/>
          <w:bCs/>
          <w:i w:val="false"/>
          <w:iCs w:val="false"/>
          <w:caps w:val="false"/>
          <w:color w:val="1A2E4A"/>
          <w:sz w:val="20"/>
          <w:szCs w:val="20"/>
        </w:rPr>
        <w:t xml:space="preserve">6.6  </w:t>
      </w:r>
      <w:r>
        <w:rPr>
          <w:rFonts w:ascii="Arial" w:cs="Arial" w:eastAsia="Arial" w:hAnsi="Arial"/>
          <w:b/>
          <w:bCs/>
          <w:i w:val="false"/>
          <w:iCs w:val="false"/>
          <w:caps w:val="false"/>
          <w:color w:val="5A5A5A"/>
          <w:sz w:val="20"/>
          <w:szCs w:val="20"/>
        </w:rPr>
        <w:t xml:space="preserve">ERISA.</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is not an employee benefit plan subject to ERISA, or if it is, it has provided appropriate documentation to the General Partner.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w:t>
      </w:r>
      <w:r>
        <w:rPr>
          <w:rFonts w:ascii="Arial" w:cs="Arial" w:eastAsia="Arial" w:hAnsi="Arial"/>
          <w:b/>
          <w:bCs/>
          <w:i w:val="false"/>
          <w:iCs w:val="false"/>
          <w:caps w:val="false"/>
          <w:color w:val="1A2E4A"/>
          <w:sz w:val="22"/>
          <w:szCs w:val="22"/>
        </w:rPr>
        <w:t xml:space="preserve">    GENERAL PARTNER REPRESENTATIONS</w:t>
      </w:r>
    </w:p>
    <w:p>
      <w:pPr>
        <w:spacing w:after="60" w:before="180" w:line="276"/>
        <w:jc w:val="left"/>
      </w:pPr>
      <w:r>
        <w:rPr>
          <w:rFonts w:ascii="Arial" w:cs="Arial" w:eastAsia="Arial" w:hAnsi="Arial"/>
          <w:b/>
          <w:bCs/>
          <w:i w:val="false"/>
          <w:iCs w:val="false"/>
          <w:caps w:val="false"/>
          <w:color w:val="1A2E4A"/>
          <w:sz w:val="20"/>
          <w:szCs w:val="20"/>
        </w:rPr>
        <w:t xml:space="preserve">7.1  </w:t>
      </w:r>
      <w:r>
        <w:rPr>
          <w:rFonts w:ascii="Arial" w:cs="Arial" w:eastAsia="Arial" w:hAnsi="Arial"/>
          <w:b/>
          <w:bCs/>
          <w:i w:val="false"/>
          <w:iCs w:val="false"/>
          <w:caps w:val="false"/>
          <w:color w:val="5A5A5A"/>
          <w:sz w:val="20"/>
          <w:szCs w:val="20"/>
        </w:rPr>
        <w:t xml:space="preserve">NAV Certification.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certifies that the NAV of the Transferred Interest as of the Transfer NAV Date is as set forth in Schedule A, calculated in accordance with the Fund's valuation policy.</w:t>
      </w:r>
    </w:p>
    <w:p>
      <w:pPr>
        <w:spacing w:after="60" w:before="180" w:line="276"/>
        <w:jc w:val="left"/>
      </w:pPr>
      <w:r>
        <w:rPr>
          <w:rFonts w:ascii="Arial" w:cs="Arial" w:eastAsia="Arial" w:hAnsi="Arial"/>
          <w:b/>
          <w:bCs/>
          <w:i w:val="false"/>
          <w:iCs w:val="false"/>
          <w:caps w:val="false"/>
          <w:color w:val="1A2E4A"/>
          <w:sz w:val="20"/>
          <w:szCs w:val="20"/>
        </w:rPr>
        <w:t xml:space="preserve">7.2  </w:t>
      </w:r>
      <w:r>
        <w:rPr>
          <w:rFonts w:ascii="Arial" w:cs="Arial" w:eastAsia="Arial" w:hAnsi="Arial"/>
          <w:b/>
          <w:bCs/>
          <w:i w:val="false"/>
          <w:iCs w:val="false"/>
          <w:caps w:val="false"/>
          <w:color w:val="5A5A5A"/>
          <w:sz w:val="20"/>
          <w:szCs w:val="20"/>
        </w:rPr>
        <w:t xml:space="preserve">Unfunded Commitment.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Unfunded Commitment of the Seller as of the Transfer NAV Date is as set forth in Schedule A.</w:t>
      </w:r>
    </w:p>
    <w:p>
      <w:pPr>
        <w:spacing w:after="60" w:before="180" w:line="276"/>
        <w:jc w:val="left"/>
      </w:pPr>
      <w:r>
        <w:rPr>
          <w:rFonts w:ascii="Arial" w:cs="Arial" w:eastAsia="Arial" w:hAnsi="Arial"/>
          <w:b/>
          <w:bCs/>
          <w:i w:val="false"/>
          <w:iCs w:val="false"/>
          <w:caps w:val="false"/>
          <w:color w:val="1A2E4A"/>
          <w:sz w:val="20"/>
          <w:szCs w:val="20"/>
        </w:rPr>
        <w:t xml:space="preserve">7.3  </w:t>
      </w:r>
      <w:r>
        <w:rPr>
          <w:rFonts w:ascii="Arial" w:cs="Arial" w:eastAsia="Arial" w:hAnsi="Arial"/>
          <w:b/>
          <w:bCs/>
          <w:i w:val="false"/>
          <w:iCs w:val="false"/>
          <w:caps w:val="false"/>
          <w:color w:val="5A5A5A"/>
          <w:sz w:val="20"/>
          <w:szCs w:val="20"/>
        </w:rPr>
        <w:t xml:space="preserve">No Known Material Events.</w:t>
      </w:r>
    </w:p>
    <w:p>
      <w:pPr>
        <w:spacing w:after="60" w:before="60" w:line="300"/>
        <w:jc w:val="left"/>
      </w:pPr>
      <w:r>
        <w:rPr>
          <w:rFonts w:ascii="Arial" w:cs="Arial" w:eastAsia="Arial" w:hAnsi="Arial"/>
          <w:b w:val="false"/>
          <w:bCs w:val="false"/>
          <w:i w:val="false"/>
          <w:iCs w:val="false"/>
          <w:caps w:val="false"/>
          <w:color w:val="3A3A3A"/>
          <w:sz w:val="20"/>
          <w:szCs w:val="20"/>
        </w:rPr>
        <w:t xml:space="preserve">As of the Effective Date, the General Partner is not aware of any material adverse event affecting the Fund that has not been disclosed to Buyer in the Disclosure Package.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VIII</w:t>
      </w:r>
      <w:r>
        <w:rPr>
          <w:rFonts w:ascii="Arial" w:cs="Arial" w:eastAsia="Arial" w:hAnsi="Arial"/>
          <w:b/>
          <w:bCs/>
          <w:i w:val="false"/>
          <w:iCs w:val="false"/>
          <w:caps w:val="false"/>
          <w:color w:val="1A2E4A"/>
          <w:sz w:val="22"/>
          <w:szCs w:val="22"/>
        </w:rPr>
        <w:t xml:space="preserve">    CONFIDENTIALITY</w:t>
      </w:r>
    </w:p>
    <w:p>
      <w:pPr>
        <w:spacing w:after="60" w:before="180" w:line="276"/>
        <w:jc w:val="left"/>
      </w:pPr>
      <w:r>
        <w:rPr>
          <w:rFonts w:ascii="Arial" w:cs="Arial" w:eastAsia="Arial" w:hAnsi="Arial"/>
          <w:b/>
          <w:bCs/>
          <w:i w:val="false"/>
          <w:iCs w:val="false"/>
          <w:caps w:val="false"/>
          <w:color w:val="1A2E4A"/>
          <w:sz w:val="20"/>
          <w:szCs w:val="20"/>
        </w:rPr>
        <w:t xml:space="preserve">8.1  </w:t>
      </w:r>
      <w:r>
        <w:rPr>
          <w:rFonts w:ascii="Arial" w:cs="Arial" w:eastAsia="Arial" w:hAnsi="Arial"/>
          <w:b/>
          <w:bCs/>
          <w:i w:val="false"/>
          <w:iCs w:val="false"/>
          <w:caps w:val="false"/>
          <w:color w:val="5A5A5A"/>
          <w:sz w:val="20"/>
          <w:szCs w:val="20"/>
        </w:rPr>
        <w:t xml:space="preserve">Disclosure Package.</w:t>
      </w:r>
    </w:p>
    <w:p>
      <w:pPr>
        <w:spacing w:after="60" w:before="60" w:line="300"/>
        <w:jc w:val="left"/>
      </w:pPr>
      <w:r>
        <w:rPr>
          <w:rFonts w:ascii="Arial" w:cs="Arial" w:eastAsia="Arial" w:hAnsi="Arial"/>
          <w:b w:val="false"/>
          <w:bCs w:val="false"/>
          <w:i w:val="false"/>
          <w:iCs w:val="false"/>
          <w:caps w:val="false"/>
          <w:color w:val="3A3A3A"/>
          <w:sz w:val="20"/>
          <w:szCs w:val="20"/>
        </w:rPr>
        <w:t xml:space="preserve">All information in the Disclosure Package, including portfolio valuations and Fund financials, is Confidential Information of the Fund. Buyer agrees to maintain strict confidentiality with respect to all such information and shall not use it for any purpose other than completing this transaction.</w:t>
      </w:r>
    </w:p>
    <w:p>
      <w:pPr>
        <w:spacing w:after="60" w:before="180" w:line="276"/>
        <w:jc w:val="left"/>
      </w:pPr>
      <w:r>
        <w:rPr>
          <w:rFonts w:ascii="Arial" w:cs="Arial" w:eastAsia="Arial" w:hAnsi="Arial"/>
          <w:b/>
          <w:bCs/>
          <w:i w:val="false"/>
          <w:iCs w:val="false"/>
          <w:caps w:val="false"/>
          <w:color w:val="1A2E4A"/>
          <w:sz w:val="20"/>
          <w:szCs w:val="20"/>
        </w:rPr>
        <w:t xml:space="preserve">8.2  </w:t>
      </w:r>
      <w:r>
        <w:rPr>
          <w:rFonts w:ascii="Arial" w:cs="Arial" w:eastAsia="Arial" w:hAnsi="Arial"/>
          <w:b/>
          <w:bCs/>
          <w:i w:val="false"/>
          <w:iCs w:val="false"/>
          <w:caps w:val="false"/>
          <w:color w:val="5A5A5A"/>
          <w:sz w:val="20"/>
          <w:szCs w:val="20"/>
        </w:rPr>
        <w:t xml:space="preserve">Terms of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terms of this Agreement (including the Purchase Price and Transfer Price) shall be kept confidential by all Parties and shall not be disclosed to any third party without the consent of the General Partner, except as required by law.</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IX</w:t>
      </w:r>
      <w:r>
        <w:rPr>
          <w:rFonts w:ascii="Arial" w:cs="Arial" w:eastAsia="Arial" w:hAnsi="Arial"/>
          <w:b/>
          <w:bCs/>
          <w:i w:val="false"/>
          <w:iCs w:val="false"/>
          <w:caps w:val="false"/>
          <w:color w:val="1A2E4A"/>
          <w:sz w:val="22"/>
          <w:szCs w:val="22"/>
        </w:rPr>
        <w:t xml:space="preserve">    INDEMNIFICATION</w:t>
      </w:r>
    </w:p>
    <w:p>
      <w:pPr>
        <w:spacing w:after="60" w:before="180" w:line="276"/>
        <w:jc w:val="left"/>
      </w:pPr>
      <w:r>
        <w:rPr>
          <w:rFonts w:ascii="Arial" w:cs="Arial" w:eastAsia="Arial" w:hAnsi="Arial"/>
          <w:b/>
          <w:bCs/>
          <w:i w:val="false"/>
          <w:iCs w:val="false"/>
          <w:caps w:val="false"/>
          <w:color w:val="1A2E4A"/>
          <w:sz w:val="20"/>
          <w:szCs w:val="20"/>
        </w:rPr>
        <w:t xml:space="preserve">9.1  </w:t>
      </w:r>
      <w:r>
        <w:rPr>
          <w:rFonts w:ascii="Arial" w:cs="Arial" w:eastAsia="Arial" w:hAnsi="Arial"/>
          <w:b/>
          <w:bCs/>
          <w:i w:val="false"/>
          <w:iCs w:val="false"/>
          <w:caps w:val="false"/>
          <w:color w:val="5A5A5A"/>
          <w:sz w:val="20"/>
          <w:szCs w:val="20"/>
        </w:rPr>
        <w:t xml:space="preserve">Seller Indemnification.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Seller shall indemnify and hold harmless the General Partner and the Fund from any claims arising from Seller's breach of its representations, warranties, or obligations hereunder.</w:t>
      </w:r>
    </w:p>
    <w:p>
      <w:pPr>
        <w:spacing w:after="60" w:before="180" w:line="276"/>
        <w:jc w:val="left"/>
      </w:pPr>
      <w:r>
        <w:rPr>
          <w:rFonts w:ascii="Arial" w:cs="Arial" w:eastAsia="Arial" w:hAnsi="Arial"/>
          <w:b/>
          <w:bCs/>
          <w:i w:val="false"/>
          <w:iCs w:val="false"/>
          <w:caps w:val="false"/>
          <w:color w:val="1A2E4A"/>
          <w:sz w:val="20"/>
          <w:szCs w:val="20"/>
        </w:rPr>
        <w:t xml:space="preserve">9.2  </w:t>
      </w:r>
      <w:r>
        <w:rPr>
          <w:rFonts w:ascii="Arial" w:cs="Arial" w:eastAsia="Arial" w:hAnsi="Arial"/>
          <w:b/>
          <w:bCs/>
          <w:i w:val="false"/>
          <w:iCs w:val="false"/>
          <w:caps w:val="false"/>
          <w:color w:val="5A5A5A"/>
          <w:sz w:val="20"/>
          <w:szCs w:val="20"/>
        </w:rPr>
        <w:t xml:space="preserve">Buyer Indemnification.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shall indemnify and hold harmless the General Partner and the Fund from any claims arising from Buyer's breach of its representations, warranties, or obligations hereunder.</w:t>
      </w:r>
    </w:p>
    <w:p>
      <w:pPr>
        <w:spacing w:after="60" w:before="180" w:line="276"/>
        <w:jc w:val="left"/>
      </w:pPr>
      <w:r>
        <w:rPr>
          <w:rFonts w:ascii="Arial" w:cs="Arial" w:eastAsia="Arial" w:hAnsi="Arial"/>
          <w:b/>
          <w:bCs/>
          <w:i w:val="false"/>
          <w:iCs w:val="false"/>
          <w:caps w:val="false"/>
          <w:color w:val="1A2E4A"/>
          <w:sz w:val="20"/>
          <w:szCs w:val="20"/>
        </w:rPr>
        <w:t xml:space="preserve">9.3  </w:t>
      </w:r>
      <w:r>
        <w:rPr>
          <w:rFonts w:ascii="Arial" w:cs="Arial" w:eastAsia="Arial" w:hAnsi="Arial"/>
          <w:b/>
          <w:bCs/>
          <w:i w:val="false"/>
          <w:iCs w:val="false"/>
          <w:caps w:val="false"/>
          <w:color w:val="5A5A5A"/>
          <w:sz w:val="20"/>
          <w:szCs w:val="20"/>
        </w:rPr>
        <w:t xml:space="preserve">Clawback.</w:t>
      </w:r>
    </w:p>
    <w:p>
      <w:pPr>
        <w:spacing w:after="60" w:before="60" w:line="300"/>
        <w:jc w:val="left"/>
      </w:pPr>
      <w:r>
        <w:rPr>
          <w:rFonts w:ascii="Arial" w:cs="Arial" w:eastAsia="Arial" w:hAnsi="Arial"/>
          <w:b w:val="false"/>
          <w:bCs w:val="false"/>
          <w:i w:val="false"/>
          <w:iCs w:val="false"/>
          <w:caps w:val="false"/>
          <w:color w:val="3A3A3A"/>
          <w:sz w:val="20"/>
          <w:szCs w:val="20"/>
        </w:rPr>
        <w:t xml:space="preserve">Buyer acknowledges that it assumes the Seller's potential Clawback obligations under the LPA proportionate to the Transferred Interest, for Carried Interest distributions made after the Transfer Date.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X</w:t>
      </w:r>
      <w:r>
        <w:rPr>
          <w:rFonts w:ascii="Arial" w:cs="Arial" w:eastAsia="Arial" w:hAnsi="Arial"/>
          <w:b/>
          <w:bCs/>
          <w:i w:val="false"/>
          <w:iCs w:val="false"/>
          <w:caps w:val="false"/>
          <w:color w:val="1A2E4A"/>
          <w:sz w:val="22"/>
          <w:szCs w:val="22"/>
        </w:rPr>
        <w:t xml:space="preserve">    GENERAL PROVISIONS</w:t>
      </w:r>
    </w:p>
    <w:p>
      <w:pPr>
        <w:spacing w:after="60" w:before="180" w:line="276"/>
        <w:jc w:val="left"/>
      </w:pPr>
      <w:r>
        <w:rPr>
          <w:rFonts w:ascii="Arial" w:cs="Arial" w:eastAsia="Arial" w:hAnsi="Arial"/>
          <w:b/>
          <w:bCs/>
          <w:i w:val="false"/>
          <w:iCs w:val="false"/>
          <w:caps w:val="false"/>
          <w:color w:val="1A2E4A"/>
          <w:sz w:val="20"/>
          <w:szCs w:val="20"/>
        </w:rPr>
        <w:t xml:space="preserve">10.1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shall be governed by the laws of the State of Delaware.</w:t>
      </w:r>
    </w:p>
    <w:p>
      <w:pPr>
        <w:spacing w:after="60" w:before="180" w:line="276"/>
        <w:jc w:val="left"/>
      </w:pPr>
      <w:r>
        <w:rPr>
          <w:rFonts w:ascii="Arial" w:cs="Arial" w:eastAsia="Arial" w:hAnsi="Arial"/>
          <w:b/>
          <w:bCs/>
          <w:i w:val="false"/>
          <w:iCs w:val="false"/>
          <w:caps w:val="false"/>
          <w:color w:val="1A2E4A"/>
          <w:sz w:val="20"/>
          <w:szCs w:val="20"/>
        </w:rPr>
        <w:t xml:space="preserve">10.2  </w:t>
      </w:r>
      <w:r>
        <w:rPr>
          <w:rFonts w:ascii="Arial" w:cs="Arial" w:eastAsia="Arial" w:hAnsi="Arial"/>
          <w:b/>
          <w:bCs/>
          <w:i w:val="false"/>
          <w:iCs w:val="false"/>
          <w:caps w:val="false"/>
          <w:color w:val="5A5A5A"/>
          <w:sz w:val="20"/>
          <w:szCs w:val="20"/>
        </w:rPr>
        <w:t xml:space="preserve">Dispute Resolution.</w:t>
      </w:r>
    </w:p>
    <w:p>
      <w:pPr>
        <w:spacing w:after="60" w:before="60" w:line="300"/>
        <w:jc w:val="left"/>
      </w:pPr>
      <w:r>
        <w:rPr>
          <w:rFonts w:ascii="Arial" w:cs="Arial" w:eastAsia="Arial" w:hAnsi="Arial"/>
          <w:b w:val="false"/>
          <w:bCs w:val="false"/>
          <w:i w:val="false"/>
          <w:iCs w:val="false"/>
          <w:caps w:val="false"/>
          <w:color w:val="3A3A3A"/>
          <w:sz w:val="20"/>
          <w:szCs w:val="20"/>
        </w:rPr>
        <w:t xml:space="preserve">All disputes shall be resolved by binding arbitration in New York City under the AAA Commercial Arbitration Rules, with a single arbitrator.</w:t>
      </w:r>
    </w:p>
    <w:p>
      <w:pPr>
        <w:spacing w:after="60" w:before="180" w:line="276"/>
        <w:jc w:val="left"/>
      </w:pPr>
      <w:r>
        <w:rPr>
          <w:rFonts w:ascii="Arial" w:cs="Arial" w:eastAsia="Arial" w:hAnsi="Arial"/>
          <w:b/>
          <w:bCs/>
          <w:i w:val="false"/>
          <w:iCs w:val="false"/>
          <w:caps w:val="false"/>
          <w:color w:val="1A2E4A"/>
          <w:sz w:val="20"/>
          <w:szCs w:val="20"/>
        </w:rPr>
        <w:t xml:space="preserve">10.3  </w:t>
      </w:r>
      <w:r>
        <w:rPr>
          <w:rFonts w:ascii="Arial" w:cs="Arial" w:eastAsia="Arial" w:hAnsi="Arial"/>
          <w:b/>
          <w:bCs/>
          <w:i w:val="false"/>
          <w:iCs w:val="false"/>
          <w:caps w:val="false"/>
          <w:color w:val="5A5A5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and all Schedules and Exhibits constitute the entire agreement of the Parties with respect to the secondary transfer.</w:t>
      </w:r>
    </w:p>
    <w:p>
      <w:pPr>
        <w:spacing w:after="60" w:before="180" w:line="276"/>
        <w:jc w:val="left"/>
      </w:pPr>
      <w:r>
        <w:rPr>
          <w:rFonts w:ascii="Arial" w:cs="Arial" w:eastAsia="Arial" w:hAnsi="Arial"/>
          <w:b/>
          <w:bCs/>
          <w:i w:val="false"/>
          <w:iCs w:val="false"/>
          <w:caps w:val="false"/>
          <w:color w:val="1A2E4A"/>
          <w:sz w:val="20"/>
          <w:szCs w:val="20"/>
        </w:rPr>
        <w:t xml:space="preserve">10.4  </w:t>
      </w:r>
      <w:r>
        <w:rPr>
          <w:rFonts w:ascii="Arial" w:cs="Arial" w:eastAsia="Arial" w:hAnsi="Arial"/>
          <w:b/>
          <w:bCs/>
          <w:i w:val="false"/>
          <w:iCs w:val="false"/>
          <w:caps w:val="false"/>
          <w:color w:val="5A5A5A"/>
          <w:sz w:val="20"/>
          <w:szCs w:val="20"/>
        </w:rPr>
        <w:t xml:space="preserve">Amendments.</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may be amended only by a written instrument signed by all Parties.</w:t>
      </w:r>
    </w:p>
    <w:p>
      <w:pPr>
        <w:spacing w:after="60" w:before="180" w:line="276"/>
        <w:jc w:val="left"/>
      </w:pPr>
      <w:r>
        <w:rPr>
          <w:rFonts w:ascii="Arial" w:cs="Arial" w:eastAsia="Arial" w:hAnsi="Arial"/>
          <w:b/>
          <w:bCs/>
          <w:i w:val="false"/>
          <w:iCs w:val="false"/>
          <w:caps w:val="false"/>
          <w:color w:val="1A2E4A"/>
          <w:sz w:val="20"/>
          <w:szCs w:val="20"/>
        </w:rPr>
        <w:t xml:space="preserve">10.5  </w:t>
      </w:r>
      <w:r>
        <w:rPr>
          <w:rFonts w:ascii="Arial" w:cs="Arial" w:eastAsia="Arial" w:hAnsi="Arial"/>
          <w:b/>
          <w:bCs/>
          <w:i w:val="false"/>
          <w:iCs w:val="false"/>
          <w:caps w:val="false"/>
          <w:color w:val="5A5A5A"/>
          <w:sz w:val="20"/>
          <w:szCs w:val="20"/>
        </w:rPr>
        <w:t xml:space="preserve">No Third-Party Rights.</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is for the benefit of the Parties only and does not create any rights in third parties.</w:t>
      </w:r>
    </w:p>
    <w:p>
      <w:pPr>
        <w:spacing w:after="60" w:before="180" w:line="276"/>
        <w:jc w:val="left"/>
      </w:pPr>
      <w:r>
        <w:rPr>
          <w:rFonts w:ascii="Arial" w:cs="Arial" w:eastAsia="Arial" w:hAnsi="Arial"/>
          <w:b/>
          <w:bCs/>
          <w:i w:val="false"/>
          <w:iCs w:val="false"/>
          <w:caps w:val="false"/>
          <w:color w:val="1A2E4A"/>
          <w:sz w:val="20"/>
          <w:szCs w:val="20"/>
        </w:rPr>
        <w:t xml:space="preserve">10.6  </w:t>
      </w:r>
      <w:r>
        <w:rPr>
          <w:rFonts w:ascii="Arial" w:cs="Arial" w:eastAsia="Arial" w:hAnsi="Arial"/>
          <w:b/>
          <w:bCs/>
          <w:i w:val="false"/>
          <w:iCs w:val="false"/>
          <w:caps w:val="false"/>
          <w:color w:val="5A5A5A"/>
          <w:sz w:val="20"/>
          <w:szCs w:val="20"/>
        </w:rPr>
        <w:t xml:space="preserve">Counterparts.</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may be executed in counterparts, including electronically.</w:t>
      </w:r>
    </w:p>
    <w:p>
      <w:pPr>
        <w:spacing w:after="60" w:before="180" w:line="276"/>
        <w:jc w:val="left"/>
      </w:pPr>
      <w:r>
        <w:rPr>
          <w:rFonts w:ascii="Arial" w:cs="Arial" w:eastAsia="Arial" w:hAnsi="Arial"/>
          <w:b/>
          <w:bCs/>
          <w:i w:val="false"/>
          <w:iCs w:val="false"/>
          <w:caps w:val="false"/>
          <w:color w:val="1A2E4A"/>
          <w:sz w:val="20"/>
          <w:szCs w:val="20"/>
        </w:rPr>
        <w:t xml:space="preserve">10.7  </w:t>
      </w:r>
      <w:r>
        <w:rPr>
          <w:rFonts w:ascii="Arial" w:cs="Arial" w:eastAsia="Arial" w:hAnsi="Arial"/>
          <w:b/>
          <w:bCs/>
          <w:i w:val="false"/>
          <w:iCs w:val="false"/>
          <w:caps w:val="false"/>
          <w:color w:val="5A5A5A"/>
          <w:sz w:val="20"/>
          <w:szCs w:val="20"/>
        </w:rPr>
        <w:t xml:space="preserve">Survival.</w:t>
      </w:r>
    </w:p>
    <w:p>
      <w:pPr>
        <w:spacing w:after="60" w:before="60" w:line="300"/>
        <w:jc w:val="left"/>
      </w:pPr>
      <w:r>
        <w:rPr>
          <w:rFonts w:ascii="Arial" w:cs="Arial" w:eastAsia="Arial" w:hAnsi="Arial"/>
          <w:b w:val="false"/>
          <w:bCs w:val="false"/>
          <w:i w:val="false"/>
          <w:iCs w:val="false"/>
          <w:caps w:val="false"/>
          <w:color w:val="3A3A3A"/>
          <w:sz w:val="20"/>
          <w:szCs w:val="20"/>
        </w:rPr>
        <w:t xml:space="preserve">All representations, warranties, and indemnities shall survive Closing for a period of twenty-four (24) months.</w:t>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SCHEDULE A — TRANSFERRED INTEREST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Seller Legal Name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Buyer Legal Name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Nature of Transferred Interest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 LP Interest in the Fund  ☐ Portfolio Company Shares  ☐ Both</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LP Interest Percentage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of total LP interests (if applicable)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Portfolio Company Shares</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[___,000] shares of [Common / Series ___] stock of [COMPANY NAME] (if applicable)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Capital Account Balance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 as of [Transfer NAV Date]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Unfunded Commitment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NAV of Transferred Interest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 ([___]% of NAV)</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Transfer Price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 ([___]% of NAV — reflecting [___]% discount)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Purchase Price (net)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 (Transfer Price less Unfunded Commitment adjustment)</w:t>
            </w:r>
          </w:p>
        </w:tc>
      </w:tr>
    </w:tbl>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GENERAL PARTNER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GP, LLC, as General Partner of StudioOS AI Venture Fund I, LP</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SELLER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 / Individual]</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Seller]</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BUYER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 / Individual]</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Buyer]</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Secondary Purchase Agreement (Liquidity)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2026-05-01T19:26:14.521Z</dcterms:created>
  <dcterms:modified xsi:type="dcterms:W3CDTF">2026-05-01T19:26:14.521Z</dcterms:modified>
</cp:coreProperties>
</file>

<file path=docProps/custom.xml><?xml version="1.0" encoding="utf-8"?>
<Properties xmlns="http://schemas.openxmlformats.org/officeDocument/2006/custom-properties" xmlns:vt="http://schemas.openxmlformats.org/officeDocument/2006/docPropsVTypes"/>
</file>