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center" w:tblpY="1008"/>
        <w:tblW w:w="9885" w:type="dxa"/>
        <w:tblLook w:val="04A0" w:firstRow="1" w:lastRow="0" w:firstColumn="1" w:lastColumn="0" w:noHBand="0" w:noVBand="1"/>
      </w:tblPr>
      <w:tblGrid>
        <w:gridCol w:w="9885"/>
      </w:tblGrid>
      <w:tr w:rsidR="00332426" w14:paraId="53D4E5C0" w14:textId="77777777" w:rsidTr="005A3509">
        <w:trPr>
          <w:trHeight w:val="2394"/>
        </w:trPr>
        <w:tc>
          <w:tcPr>
            <w:tcW w:w="9885" w:type="dxa"/>
          </w:tcPr>
          <w:p w14:paraId="4F90BDD8" w14:textId="77777777" w:rsidR="00332426" w:rsidRPr="00AB63F2" w:rsidRDefault="00332426" w:rsidP="00332426">
            <w:pPr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Causalidade</w:t>
            </w:r>
          </w:p>
          <w:p w14:paraId="7ECFF409" w14:textId="77777777" w:rsidR="00332426" w:rsidRPr="005A3509" w:rsidRDefault="00332426" w:rsidP="00332426">
            <w:pPr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Relação de causa e efeito entre duas variáveis, onde uma influencia diretamente a outra.</w:t>
            </w:r>
          </w:p>
          <w:p w14:paraId="0AD2050B" w14:textId="77777777" w:rsidR="00332426" w:rsidRPr="00AB63F2" w:rsidRDefault="00332426" w:rsidP="00332426">
            <w:p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Correlação</w:t>
            </w:r>
          </w:p>
          <w:p w14:paraId="36182F91" w14:textId="77777777" w:rsidR="00332426" w:rsidRPr="005A3509" w:rsidRDefault="00332426" w:rsidP="00332426">
            <w:pPr>
              <w:numPr>
                <w:ilvl w:val="0"/>
                <w:numId w:val="2"/>
              </w:numPr>
              <w:rPr>
                <w:rFonts w:ascii="Segoe UI" w:eastAsia="Times New Roman" w:hAnsi="Segoe UI" w:cs="Segoe UI"/>
                <w:color w:val="404040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lang w:eastAsia="pt-BR"/>
              </w:rPr>
              <w:t>Associação entre duas variáveis, mas sem necessariamente indicar uma relação de causa e efeito.</w:t>
            </w:r>
          </w:p>
          <w:p w14:paraId="58E5ACD5" w14:textId="77777777" w:rsidR="00332426" w:rsidRPr="00AB63F2" w:rsidRDefault="00332426" w:rsidP="00332426">
            <w:p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Variáveis de Confusão</w:t>
            </w:r>
          </w:p>
          <w:p w14:paraId="7E245B70" w14:textId="77777777" w:rsidR="00332426" w:rsidRPr="005A3509" w:rsidRDefault="00332426" w:rsidP="00332426">
            <w:pPr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Fatores externos que afetam tanto a variável independente quanto a dependente, criando uma falsa impressão de causalidade.</w:t>
            </w:r>
          </w:p>
        </w:tc>
      </w:tr>
    </w:tbl>
    <w:p w14:paraId="297EDF94" w14:textId="77777777" w:rsidR="00332426" w:rsidRDefault="00AB63F2" w:rsidP="005A3509">
      <w:pPr>
        <w:spacing w:after="0" w:line="240" w:lineRule="auto"/>
        <w:ind w:left="-709" w:firstLine="709"/>
        <w:jc w:val="center"/>
        <w:outlineLvl w:val="2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br/>
      </w:r>
      <w:r w:rsidR="003324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Resumo da aula</w:t>
      </w:r>
      <w:r w:rsidR="00332426" w:rsidRPr="003324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</w:t>
      </w:r>
      <w:r w:rsidRPr="00AB63F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Randomização</w:t>
      </w:r>
    </w:p>
    <w:p w14:paraId="0353E8AB" w14:textId="77777777" w:rsidR="00332426" w:rsidRDefault="00332426" w:rsidP="00332426">
      <w:pPr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332426" w14:paraId="5BCA3251" w14:textId="77777777" w:rsidTr="005A3509">
        <w:trPr>
          <w:trHeight w:val="1334"/>
        </w:trPr>
        <w:tc>
          <w:tcPr>
            <w:tcW w:w="9923" w:type="dxa"/>
          </w:tcPr>
          <w:p w14:paraId="45118891" w14:textId="77777777" w:rsidR="00332426" w:rsidRPr="00AB63F2" w:rsidRDefault="00332426" w:rsidP="00332426">
            <w:pPr>
              <w:ind w:left="-108"/>
              <w:outlineLvl w:val="2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332426">
              <w:rPr>
                <w:rFonts w:ascii="Segoe UI" w:eastAsia="Times New Roman" w:hAnsi="Segoe UI" w:cs="Segoe UI"/>
                <w:b/>
                <w:bCs/>
                <w:color w:val="404040"/>
                <w:sz w:val="27"/>
                <w:szCs w:val="27"/>
                <w:lang w:eastAsia="pt-BR"/>
              </w:rPr>
              <w:t>Métodos para Identificar e Mitigar Erros</w:t>
            </w:r>
          </w:p>
          <w:p w14:paraId="4CB0EF1B" w14:textId="77777777" w:rsidR="00332426" w:rsidRPr="00AB63F2" w:rsidRDefault="00332426" w:rsidP="00332426">
            <w:pPr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404040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lang w:eastAsia="pt-BR"/>
              </w:rPr>
              <w:t>Randomização:</w:t>
            </w:r>
            <w:r w:rsidRPr="00AB63F2">
              <w:rPr>
                <w:rFonts w:ascii="Segoe UI" w:eastAsia="Times New Roman" w:hAnsi="Segoe UI" w:cs="Segoe UI"/>
                <w:b/>
                <w:bCs/>
                <w:color w:val="404040"/>
                <w:lang w:eastAsia="pt-BR"/>
              </w:rPr>
              <w:t xml:space="preserve"> </w:t>
            </w:r>
            <w:r w:rsidRPr="00AB63F2">
              <w:rPr>
                <w:rFonts w:ascii="Segoe UI" w:eastAsia="Times New Roman" w:hAnsi="Segoe UI" w:cs="Segoe UI"/>
                <w:color w:val="404040"/>
                <w:lang w:eastAsia="pt-BR"/>
              </w:rPr>
              <w:t>Garante que os grupos em estudos experimentais sejam comparáveis.</w:t>
            </w:r>
          </w:p>
          <w:p w14:paraId="3AD1B3C7" w14:textId="77777777" w:rsidR="00332426" w:rsidRPr="00AB63F2" w:rsidRDefault="00332426" w:rsidP="00332426">
            <w:pPr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Cs w:val="24"/>
                <w:lang w:eastAsia="pt-BR"/>
              </w:rPr>
              <w:t>Ajuste estatístico</w:t>
            </w: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: Como regressão múltipla, para controlar variáveis de confusão.</w:t>
            </w:r>
          </w:p>
          <w:p w14:paraId="19EAB263" w14:textId="77777777" w:rsidR="00332426" w:rsidRPr="00332426" w:rsidRDefault="00332426" w:rsidP="00332426">
            <w:pPr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Cs w:val="24"/>
                <w:lang w:eastAsia="pt-BR"/>
              </w:rPr>
              <w:t>Estudos longitudinais</w:t>
            </w: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: Observam as relações ao longo do tempo.</w:t>
            </w:r>
          </w:p>
        </w:tc>
      </w:tr>
    </w:tbl>
    <w:p w14:paraId="76F929A9" w14:textId="77777777" w:rsidR="00332426" w:rsidRDefault="00332426" w:rsidP="00332426">
      <w:pPr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tbl>
      <w:tblPr>
        <w:tblStyle w:val="Tabelacomgrade"/>
        <w:tblW w:w="9944" w:type="dxa"/>
        <w:tblInd w:w="-714" w:type="dxa"/>
        <w:tblLook w:val="04A0" w:firstRow="1" w:lastRow="0" w:firstColumn="1" w:lastColumn="0" w:noHBand="0" w:noVBand="1"/>
      </w:tblPr>
      <w:tblGrid>
        <w:gridCol w:w="9944"/>
      </w:tblGrid>
      <w:tr w:rsidR="00332426" w14:paraId="24B6522A" w14:textId="77777777" w:rsidTr="005A3509">
        <w:trPr>
          <w:trHeight w:val="3904"/>
        </w:trPr>
        <w:tc>
          <w:tcPr>
            <w:tcW w:w="9944" w:type="dxa"/>
          </w:tcPr>
          <w:p w14:paraId="4FC0293C" w14:textId="77777777" w:rsidR="00332426" w:rsidRPr="00332426" w:rsidRDefault="00332426" w:rsidP="009A3F98">
            <w:pPr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28"/>
                <w:szCs w:val="27"/>
                <w:lang w:eastAsia="pt-BR"/>
              </w:rPr>
            </w:pPr>
            <w:r w:rsidRPr="00332426">
              <w:rPr>
                <w:rFonts w:ascii="Segoe UI" w:eastAsia="Times New Roman" w:hAnsi="Segoe UI" w:cs="Segoe UI"/>
                <w:b/>
                <w:bCs/>
                <w:color w:val="404040"/>
                <w:sz w:val="28"/>
                <w:szCs w:val="27"/>
                <w:lang w:eastAsia="pt-BR"/>
              </w:rPr>
              <w:t>Erros Influencias na interpretação de dados:</w:t>
            </w:r>
          </w:p>
          <w:p w14:paraId="19FAD1EB" w14:textId="77777777" w:rsidR="00332426" w:rsidRPr="00AB63F2" w:rsidRDefault="00332426" w:rsidP="00332426">
            <w:p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Causalidade Reversa</w:t>
            </w:r>
          </w:p>
          <w:p w14:paraId="4653E628" w14:textId="77777777" w:rsidR="00332426" w:rsidRPr="005A3509" w:rsidRDefault="00332426" w:rsidP="00332426">
            <w:pPr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D</w:t>
            </w: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ireção da relação entre duas variáveis é oposta ao que se pensa.</w:t>
            </w:r>
          </w:p>
          <w:p w14:paraId="1BB178CE" w14:textId="77777777" w:rsidR="00332426" w:rsidRPr="00AB63F2" w:rsidRDefault="00332426" w:rsidP="00332426">
            <w:p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Falácia Ecológica</w:t>
            </w:r>
          </w:p>
          <w:p w14:paraId="02743C60" w14:textId="77777777" w:rsidR="00332426" w:rsidRPr="005A3509" w:rsidRDefault="00332426" w:rsidP="00332426">
            <w:pPr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Conclusões sobre indivíduos baseadas em dados agregados de um grupo.</w:t>
            </w:r>
          </w:p>
          <w:p w14:paraId="403CD191" w14:textId="77777777" w:rsidR="009A3F98" w:rsidRPr="009A3F98" w:rsidRDefault="009A3F98" w:rsidP="009A3F98">
            <w:pPr>
              <w:ind w:left="720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b/>
                <w:bCs/>
                <w:color w:val="404040"/>
                <w:sz w:val="27"/>
                <w:szCs w:val="27"/>
                <w:lang w:eastAsia="pt-BR"/>
              </w:rPr>
              <w:t>Viés na Pesquisa</w:t>
            </w:r>
            <w:r w:rsidRPr="009A3F98">
              <w:rPr>
                <w:rFonts w:ascii="Segoe UI" w:eastAsia="Times New Roman" w:hAnsi="Segoe UI" w:cs="Segoe UI"/>
                <w:b/>
                <w:bCs/>
                <w:color w:val="404040"/>
                <w:sz w:val="27"/>
                <w:szCs w:val="27"/>
                <w:lang w:eastAsia="pt-BR"/>
              </w:rPr>
              <w:t>:</w:t>
            </w:r>
          </w:p>
          <w:p w14:paraId="78408556" w14:textId="77777777" w:rsidR="00332426" w:rsidRPr="005A3509" w:rsidRDefault="00332426" w:rsidP="00332426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Viés de Seleção</w:t>
            </w:r>
          </w:p>
          <w:p w14:paraId="5E482708" w14:textId="77777777" w:rsidR="00332426" w:rsidRDefault="00332426" w:rsidP="00332426">
            <w:pPr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 xml:space="preserve"> </w:t>
            </w: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Amostra não representativa da população.</w:t>
            </w:r>
          </w:p>
          <w:p w14:paraId="110E423D" w14:textId="77777777" w:rsidR="00332426" w:rsidRPr="005A3509" w:rsidRDefault="009A3F98" w:rsidP="00332426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Viés de confirmação</w:t>
            </w:r>
          </w:p>
          <w:p w14:paraId="6B0FD9F3" w14:textId="77777777" w:rsidR="009A3F98" w:rsidRPr="005A3509" w:rsidRDefault="00332426" w:rsidP="009A3F98">
            <w:pPr>
              <w:numPr>
                <w:ilvl w:val="0"/>
                <w:numId w:val="7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 xml:space="preserve"> </w:t>
            </w:r>
            <w:r w:rsidR="009A3F98"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Considerar apenas dados que confirmam uma hipótese.</w:t>
            </w:r>
          </w:p>
          <w:p w14:paraId="5A293D88" w14:textId="77777777" w:rsidR="009A3F98" w:rsidRPr="005A3509" w:rsidRDefault="009A3F98" w:rsidP="009A3F98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Viés de Publicação</w:t>
            </w:r>
          </w:p>
          <w:p w14:paraId="7B2A66CA" w14:textId="77777777" w:rsidR="00332426" w:rsidRPr="009A3F98" w:rsidRDefault="009A3F98" w:rsidP="009A3F98">
            <w:pPr>
              <w:numPr>
                <w:ilvl w:val="0"/>
                <w:numId w:val="7"/>
              </w:num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Estudos com resultados positivos são publicados com mais frequência.</w:t>
            </w:r>
          </w:p>
        </w:tc>
      </w:tr>
    </w:tbl>
    <w:p w14:paraId="017AD5A0" w14:textId="77777777" w:rsidR="005A3509" w:rsidRPr="005A3509" w:rsidRDefault="005A3509" w:rsidP="00332426">
      <w:pPr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"/>
          <w:szCs w:val="27"/>
          <w:lang w:eastAsia="pt-BR"/>
        </w:rPr>
      </w:pPr>
    </w:p>
    <w:tbl>
      <w:tblPr>
        <w:tblStyle w:val="Tabelacomgrade"/>
        <w:tblW w:w="10005" w:type="dxa"/>
        <w:tblInd w:w="-722" w:type="dxa"/>
        <w:tblLook w:val="04A0" w:firstRow="1" w:lastRow="0" w:firstColumn="1" w:lastColumn="0" w:noHBand="0" w:noVBand="1"/>
      </w:tblPr>
      <w:tblGrid>
        <w:gridCol w:w="10005"/>
      </w:tblGrid>
      <w:tr w:rsidR="005A3509" w14:paraId="58226C32" w14:textId="77777777" w:rsidTr="005A3509">
        <w:trPr>
          <w:trHeight w:val="510"/>
        </w:trPr>
        <w:tc>
          <w:tcPr>
            <w:tcW w:w="10005" w:type="dxa"/>
          </w:tcPr>
          <w:p w14:paraId="60620FB9" w14:textId="77777777" w:rsidR="005A3509" w:rsidRPr="005A3509" w:rsidRDefault="005A3509" w:rsidP="005A3509">
            <w:pPr>
              <w:spacing w:before="100" w:beforeAutospacing="1"/>
              <w:jc w:val="center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Métodos Estatísticos para Avaliação de Causalidade</w:t>
            </w:r>
          </w:p>
          <w:p w14:paraId="2D0219AE" w14:textId="77777777" w:rsidR="005A3509" w:rsidRDefault="005A3509" w:rsidP="005A3509">
            <w:pPr>
              <w:outlineLvl w:val="2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Testes de Hipótese e Valor-p</w:t>
            </w:r>
            <w:r w:rsidRPr="00AB63F2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:</w:t>
            </w:r>
          </w:p>
          <w:p w14:paraId="449FF59D" w14:textId="77777777" w:rsidR="005A3509" w:rsidRPr="005A3509" w:rsidRDefault="005A3509" w:rsidP="005A3509">
            <w:pPr>
              <w:pStyle w:val="PargrafodaLista"/>
              <w:numPr>
                <w:ilvl w:val="0"/>
                <w:numId w:val="13"/>
              </w:numPr>
              <w:outlineLvl w:val="2"/>
              <w:rPr>
                <w:rFonts w:ascii="Segoe UI" w:eastAsia="Times New Roman" w:hAnsi="Segoe UI" w:cs="Segoe UI"/>
                <w:bCs/>
                <w:color w:val="404040"/>
                <w:szCs w:val="27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Verificam se uma relação observada pode ter ocorrido por acaso.</w:t>
            </w:r>
          </w:p>
          <w:p w14:paraId="479E53DD" w14:textId="77777777" w:rsidR="005A3509" w:rsidRDefault="005A3509" w:rsidP="005A3509">
            <w:pPr>
              <w:outlineLvl w:val="2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Intervalos de Confiança</w:t>
            </w:r>
            <w:r w:rsidRPr="00AB63F2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:</w:t>
            </w:r>
          </w:p>
          <w:p w14:paraId="2004183C" w14:textId="77777777" w:rsidR="005A3509" w:rsidRDefault="005A3509" w:rsidP="005A3509">
            <w:pPr>
              <w:numPr>
                <w:ilvl w:val="0"/>
                <w:numId w:val="13"/>
              </w:numPr>
              <w:rPr>
                <w:rFonts w:ascii="Segoe UI" w:eastAsia="Times New Roman" w:hAnsi="Segoe UI" w:cs="Segoe UI"/>
                <w:b/>
                <w:bCs/>
                <w:color w:val="404040"/>
                <w:sz w:val="27"/>
                <w:szCs w:val="27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lang w:eastAsia="pt-BR"/>
              </w:rPr>
              <w:t>Fornecem uma estimativa da incerteza associada a uma estatística</w:t>
            </w:r>
            <w: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.</w:t>
            </w:r>
          </w:p>
        </w:tc>
      </w:tr>
    </w:tbl>
    <w:tbl>
      <w:tblPr>
        <w:tblStyle w:val="Tabelacomgrade"/>
        <w:tblpPr w:leftFromText="141" w:rightFromText="141" w:vertAnchor="text" w:horzAnchor="page" w:tblpX="1021" w:tblpY="29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A3509" w14:paraId="582F95EE" w14:textId="77777777" w:rsidTr="005A3509">
        <w:tc>
          <w:tcPr>
            <w:tcW w:w="9918" w:type="dxa"/>
          </w:tcPr>
          <w:p w14:paraId="3B9D8F0F" w14:textId="77777777" w:rsidR="005A3509" w:rsidRPr="00AB63F2" w:rsidRDefault="005A3509" w:rsidP="005A3509">
            <w:pPr>
              <w:spacing w:before="100" w:beforeAutospacing="1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7"/>
                <w:szCs w:val="27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7"/>
                <w:lang w:eastAsia="pt-BR"/>
              </w:rPr>
              <w:t>Critérios de Bradford Hill</w:t>
            </w:r>
          </w:p>
          <w:p w14:paraId="26860493" w14:textId="77777777" w:rsidR="005A3509" w:rsidRPr="00AB63F2" w:rsidRDefault="005A3509" w:rsidP="005A3509">
            <w:pPr>
              <w:numPr>
                <w:ilvl w:val="0"/>
                <w:numId w:val="9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Conjunto de nove princípios para estabelecer causalidade em estudos epidemiológicos, incluindo:</w:t>
            </w:r>
          </w:p>
          <w:p w14:paraId="7E6A31DF" w14:textId="77777777" w:rsidR="005A3509" w:rsidRPr="00AB63F2" w:rsidRDefault="005A3509" w:rsidP="005A3509">
            <w:pPr>
              <w:numPr>
                <w:ilvl w:val="1"/>
                <w:numId w:val="9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Cs w:val="24"/>
                <w:lang w:eastAsia="pt-BR"/>
              </w:rPr>
              <w:t>Força da associação</w:t>
            </w: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: Relações mais fortes sugerem causalidade.</w:t>
            </w:r>
          </w:p>
          <w:p w14:paraId="4B083A3D" w14:textId="77777777" w:rsidR="005A3509" w:rsidRPr="00AB63F2" w:rsidRDefault="005A3509" w:rsidP="005A3509">
            <w:pPr>
              <w:numPr>
                <w:ilvl w:val="1"/>
                <w:numId w:val="9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Cs w:val="24"/>
                <w:lang w:eastAsia="pt-BR"/>
              </w:rPr>
              <w:t>Consistência</w:t>
            </w: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: A relação é replicada em diferentes estudos.</w:t>
            </w:r>
          </w:p>
          <w:p w14:paraId="15AF0450" w14:textId="77777777" w:rsidR="005A3509" w:rsidRPr="00AB63F2" w:rsidRDefault="005A3509" w:rsidP="005A3509">
            <w:pPr>
              <w:numPr>
                <w:ilvl w:val="1"/>
                <w:numId w:val="9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Cs w:val="24"/>
                <w:lang w:eastAsia="pt-BR"/>
              </w:rPr>
              <w:t>Temporalidade</w:t>
            </w: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: A causa deve preceder o efeito.</w:t>
            </w:r>
          </w:p>
          <w:p w14:paraId="764535D8" w14:textId="77777777" w:rsidR="005A3509" w:rsidRPr="005A3509" w:rsidRDefault="005A3509" w:rsidP="005A3509">
            <w:pPr>
              <w:numPr>
                <w:ilvl w:val="1"/>
                <w:numId w:val="9"/>
              </w:numP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</w:pPr>
            <w:r w:rsidRPr="005A3509">
              <w:rPr>
                <w:rFonts w:ascii="Segoe UI" w:eastAsia="Times New Roman" w:hAnsi="Segoe UI" w:cs="Segoe UI"/>
                <w:b/>
                <w:bCs/>
                <w:color w:val="404040"/>
                <w:szCs w:val="24"/>
                <w:lang w:eastAsia="pt-BR"/>
              </w:rPr>
              <w:t>Plausibilidade biológica</w:t>
            </w:r>
            <w:r w:rsidRPr="00AB63F2"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: Deve haver um mecanismo plausível</w:t>
            </w:r>
            <w:r>
              <w:rPr>
                <w:rFonts w:ascii="Segoe UI" w:eastAsia="Times New Roman" w:hAnsi="Segoe UI" w:cs="Segoe UI"/>
                <w:color w:val="404040"/>
                <w:szCs w:val="24"/>
                <w:lang w:eastAsia="pt-BR"/>
              </w:rPr>
              <w:t>.</w:t>
            </w:r>
          </w:p>
        </w:tc>
      </w:tr>
    </w:tbl>
    <w:p w14:paraId="3497AC0B" w14:textId="77777777" w:rsidR="00AB63F2" w:rsidRPr="00AB63F2" w:rsidRDefault="00AB63F2" w:rsidP="005A3509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B63F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> </w:t>
      </w:r>
    </w:p>
    <w:tbl>
      <w:tblPr>
        <w:tblStyle w:val="Tabelacomgrade"/>
        <w:tblW w:w="9726" w:type="dxa"/>
        <w:tblInd w:w="-517" w:type="dxa"/>
        <w:tblLook w:val="04A0" w:firstRow="1" w:lastRow="0" w:firstColumn="1" w:lastColumn="0" w:noHBand="0" w:noVBand="1"/>
      </w:tblPr>
      <w:tblGrid>
        <w:gridCol w:w="9726"/>
      </w:tblGrid>
      <w:tr w:rsidR="005A3509" w14:paraId="704FF4C5" w14:textId="77777777" w:rsidTr="005A3509">
        <w:trPr>
          <w:trHeight w:val="1719"/>
        </w:trPr>
        <w:tc>
          <w:tcPr>
            <w:tcW w:w="9726" w:type="dxa"/>
          </w:tcPr>
          <w:p w14:paraId="39B00102" w14:textId="77777777" w:rsidR="005A3509" w:rsidRPr="00AB63F2" w:rsidRDefault="005A3509" w:rsidP="005A3509">
            <w:pPr>
              <w:spacing w:before="100" w:beforeAutospacing="1"/>
              <w:outlineLvl w:val="2"/>
              <w:rPr>
                <w:rFonts w:ascii="Segoe UI" w:eastAsia="Times New Roman" w:hAnsi="Segoe UI" w:cs="Segoe UI"/>
                <w:b/>
                <w:bCs/>
                <w:color w:val="404040"/>
                <w:sz w:val="27"/>
                <w:szCs w:val="27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b/>
                <w:bCs/>
                <w:color w:val="404040"/>
                <w:sz w:val="27"/>
                <w:szCs w:val="27"/>
                <w:lang w:eastAsia="pt-BR"/>
              </w:rPr>
              <w:t>Experimentos Controlados vs. Estudos Observacionais</w:t>
            </w:r>
          </w:p>
          <w:p w14:paraId="3023697E" w14:textId="77777777" w:rsidR="005A3509" w:rsidRPr="00AB63F2" w:rsidRDefault="005A3509" w:rsidP="005A3509">
            <w:pPr>
              <w:numPr>
                <w:ilvl w:val="0"/>
                <w:numId w:val="10"/>
              </w:num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</w:pPr>
            <w:r w:rsidRPr="00AB63F2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Estudos Observacionais</w:t>
            </w:r>
            <w:r w:rsidRPr="00AB63F2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: Analisam dados existentes sem manipular variáveis, úteis para identificar associações, mas não para provar causalidade.</w:t>
            </w:r>
          </w:p>
          <w:p w14:paraId="5992D05A" w14:textId="77777777" w:rsidR="005A3509" w:rsidRDefault="005A3509" w:rsidP="005A3509">
            <w:r w:rsidRPr="00AB63F2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pt-BR"/>
              </w:rPr>
              <w:t>Experimentos Controlados</w:t>
            </w:r>
            <w:r w:rsidRPr="00AB63F2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pt-BR"/>
              </w:rPr>
              <w:t>: Manipulam variáveis para testar hipóteses e estabelecer relações causais. São considerados o padrão-ouro para estabelecer causalidade.</w:t>
            </w:r>
          </w:p>
        </w:tc>
      </w:tr>
    </w:tbl>
    <w:p w14:paraId="466E0EDF" w14:textId="77777777" w:rsidR="005A3509" w:rsidRDefault="00067B2E" w:rsidP="00067B2E">
      <w:pPr>
        <w:spacing w:before="240" w:after="0"/>
        <w:jc w:val="center"/>
        <w:rPr>
          <w:rFonts w:ascii="Segoe UI" w:eastAsia="Times New Roman" w:hAnsi="Segoe UI" w:cs="Segoe UI"/>
          <w:b/>
          <w:color w:val="404040"/>
          <w:sz w:val="32"/>
          <w:szCs w:val="24"/>
          <w:lang w:eastAsia="pt-BR"/>
        </w:rPr>
      </w:pPr>
      <w:r w:rsidRPr="00067B2E">
        <w:rPr>
          <w:rFonts w:ascii="Segoe UI" w:eastAsia="Times New Roman" w:hAnsi="Segoe UI" w:cs="Segoe UI"/>
          <w:b/>
          <w:color w:val="404040"/>
          <w:sz w:val="32"/>
          <w:szCs w:val="24"/>
          <w:lang w:eastAsia="pt-BR"/>
        </w:rPr>
        <w:t>Artigos e exemplos de cada caso:</w:t>
      </w:r>
    </w:p>
    <w:p w14:paraId="073D4AAC" w14:textId="77777777" w:rsidR="006D36DF" w:rsidRDefault="00067B2E" w:rsidP="006D36DF">
      <w:pPr>
        <w:pStyle w:val="PargrafodaLista"/>
        <w:numPr>
          <w:ilvl w:val="0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067B2E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Casualidade reversa:</w:t>
      </w:r>
    </w:p>
    <w:p w14:paraId="55664ACD" w14:textId="77777777" w:rsidR="00067B2E" w:rsidRPr="006D36DF" w:rsidRDefault="00067B2E" w:rsidP="006D36DF">
      <w:pPr>
        <w:pStyle w:val="PargrafodaLista"/>
        <w:numPr>
          <w:ilvl w:val="1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6D36DF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Tema:</w:t>
      </w:r>
      <w:r w:rsidR="006D36DF" w:rsidRPr="006D36DF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 xml:space="preserve"> </w:t>
      </w:r>
      <w:r w:rsidRPr="006D36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Artigo sobre percepção de isolamento social e uso de redes sociais </w:t>
      </w:r>
      <w:r w:rsidR="006D36DF" w:rsidRPr="006D36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entre Jovens</w:t>
      </w:r>
      <w:r w:rsidRPr="006D36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adultos nos Estados Unidos</w:t>
      </w:r>
    </w:p>
    <w:p w14:paraId="50507BA7" w14:textId="77777777" w:rsidR="002858DF" w:rsidRPr="002858DF" w:rsidRDefault="006D36DF" w:rsidP="002858DF">
      <w:pPr>
        <w:pStyle w:val="PargrafodaLista"/>
        <w:numPr>
          <w:ilvl w:val="1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 xml:space="preserve">Artigo: </w:t>
      </w:r>
      <w:hyperlink r:id="rId5" w:history="1">
        <w:r w:rsidRPr="002858DF">
          <w:rPr>
            <w:rStyle w:val="Hyperlink"/>
            <w:rFonts w:ascii="Segoe UI" w:eastAsia="Times New Roman" w:hAnsi="Segoe UI" w:cs="Segoe UI"/>
            <w:sz w:val="20"/>
            <w:szCs w:val="24"/>
            <w:lang w:eastAsia="pt-BR"/>
          </w:rPr>
          <w:t>https://www.ajpmonline.org/article/S0749-3797(17)30016-8/abstract</w:t>
        </w:r>
      </w:hyperlink>
    </w:p>
    <w:p w14:paraId="3AA4A610" w14:textId="77777777" w:rsidR="006D36DF" w:rsidRPr="00EB78CD" w:rsidRDefault="006D36DF" w:rsidP="00612E2B">
      <w:pPr>
        <w:pStyle w:val="PargrafodaLista"/>
        <w:numPr>
          <w:ilvl w:val="1"/>
          <w:numId w:val="14"/>
        </w:numPr>
        <w:spacing w:before="240" w:after="0"/>
        <w:jc w:val="both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2858DF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Análise:</w:t>
      </w:r>
      <w:r w:rsidRPr="002858DF">
        <w:rPr>
          <w:rFonts w:ascii="Segoe UI" w:eastAsia="Times New Roman" w:hAnsi="Segoe UI" w:cs="Segoe UI"/>
          <w:color w:val="404040"/>
          <w:sz w:val="28"/>
          <w:szCs w:val="24"/>
          <w:lang w:eastAsia="pt-BR"/>
        </w:rPr>
        <w:t xml:space="preserve"> </w:t>
      </w:r>
      <w:r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O </w:t>
      </w:r>
      <w:r w:rsidR="002858DF"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artigo</w:t>
      </w:r>
      <w:r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de </w:t>
      </w:r>
      <w:proofErr w:type="spellStart"/>
      <w:r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Primack</w:t>
      </w:r>
      <w:proofErr w:type="spellEnd"/>
      <w:r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et al. (2017)</w:t>
      </w:r>
      <w:r w:rsidR="002858DF"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se</w:t>
      </w:r>
      <w:r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trata de um estudo </w:t>
      </w:r>
      <w:r w:rsidR="002858DF"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onde é pesquisado a relação entre a percepção de isolamento social das pessoas e o uso de redes sociais. O estudo estabelece uma correlação clara entre estes dois fatores, e sugere como futuro estudo compreender a direcionalidade de causa e efeito: Pessoas solitárias usam mídias sociais, ou o uso de mídias sociais deixam pessoas solitárias?</w:t>
      </w:r>
    </w:p>
    <w:p w14:paraId="598378F8" w14:textId="77777777" w:rsidR="00EB78CD" w:rsidRDefault="00EB78CD" w:rsidP="00EB78CD">
      <w:pPr>
        <w:pStyle w:val="PargrafodaLista"/>
        <w:numPr>
          <w:ilvl w:val="0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Falácia ecológica</w:t>
      </w:r>
      <w:r w:rsidRPr="00067B2E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:</w:t>
      </w:r>
    </w:p>
    <w:p w14:paraId="23C4B509" w14:textId="77777777" w:rsidR="00EB78CD" w:rsidRPr="006D36DF" w:rsidRDefault="00EB78CD" w:rsidP="00EB78CD">
      <w:pPr>
        <w:pStyle w:val="PargrafodaLista"/>
        <w:numPr>
          <w:ilvl w:val="1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6D36DF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 xml:space="preserve">Tema: </w:t>
      </w:r>
      <w:r w:rsidRPr="006D36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Artigo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que correlaciona o número de carros que pessoa possui com a renda distribuída e decisões de consumo</w:t>
      </w:r>
    </w:p>
    <w:p w14:paraId="4C61E62C" w14:textId="77777777" w:rsidR="00EB78CD" w:rsidRPr="002858DF" w:rsidRDefault="00EB78CD" w:rsidP="00EB78CD">
      <w:pPr>
        <w:pStyle w:val="PargrafodaLista"/>
        <w:numPr>
          <w:ilvl w:val="1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Artigo</w:t>
      </w:r>
      <w:r w:rsidRPr="00EB78CD">
        <w:rPr>
          <w:rFonts w:ascii="Segoe UI" w:eastAsia="Times New Roman" w:hAnsi="Segoe UI" w:cs="Segoe UI"/>
          <w:color w:val="404040"/>
          <w:sz w:val="20"/>
          <w:szCs w:val="24"/>
          <w:lang w:eastAsia="pt-BR"/>
        </w:rPr>
        <w:t xml:space="preserve">: </w:t>
      </w:r>
      <w:hyperlink r:id="rId6" w:history="1">
        <w:r w:rsidRPr="00EB78CD">
          <w:rPr>
            <w:rStyle w:val="Hyperlink"/>
            <w:rFonts w:ascii="Segoe UI" w:eastAsia="Times New Roman" w:hAnsi="Segoe UI" w:cs="Segoe UI"/>
            <w:szCs w:val="24"/>
            <w:lang w:eastAsia="pt-BR"/>
          </w:rPr>
          <w:t>https://www.ajpmonline.org/article/S0749-3797(17)30016-8/abstract</w:t>
        </w:r>
      </w:hyperlink>
    </w:p>
    <w:p w14:paraId="62C7FFE6" w14:textId="77777777" w:rsidR="00EB78CD" w:rsidRPr="00B737A1" w:rsidRDefault="00EB78CD" w:rsidP="00612E2B">
      <w:pPr>
        <w:pStyle w:val="PargrafodaLista"/>
        <w:numPr>
          <w:ilvl w:val="1"/>
          <w:numId w:val="14"/>
        </w:numPr>
        <w:spacing w:before="240" w:after="0"/>
        <w:jc w:val="both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2858DF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Análise:</w:t>
      </w:r>
      <w:r w:rsidRPr="002858DF">
        <w:rPr>
          <w:rFonts w:ascii="Segoe UI" w:eastAsia="Times New Roman" w:hAnsi="Segoe UI" w:cs="Segoe UI"/>
          <w:color w:val="404040"/>
          <w:sz w:val="28"/>
          <w:szCs w:val="24"/>
          <w:lang w:eastAsia="pt-BR"/>
        </w:rPr>
        <w:t xml:space="preserve"> </w:t>
      </w:r>
      <w:r w:rsidRPr="00B737A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estudo de SMITH et al. (2015)</w:t>
      </w:r>
      <w:r w:rsidRPr="00B737A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analisa a relação entre o número de carros por família e a renda per capita média em diferentes bairros</w:t>
      </w:r>
      <w:r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Resultados mostraram que quanto maior a quantidade de carros, maior a renda média delas.</w:t>
      </w:r>
      <w:r w:rsidRPr="002858D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r w:rsidR="00B737A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No entanto u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ma maior quantidade de carros, não causa um aumento da renda, pois outros fatores precisam ser considerados como</w:t>
      </w:r>
      <w:r w:rsidRPr="00EB78C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infraestrutura, acesso a empregos, etc. Se trata de uma falácia ecológica porque o autor chega a conclusões individuais baseados em observações</w:t>
      </w:r>
      <w:r w:rsidR="00B737A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geradas de um grupo</w:t>
      </w:r>
    </w:p>
    <w:p w14:paraId="2DB0F332" w14:textId="77777777" w:rsidR="00612E2B" w:rsidRDefault="00612E2B" w:rsidP="00612E2B">
      <w:pPr>
        <w:pStyle w:val="PargrafodaLista"/>
        <w:numPr>
          <w:ilvl w:val="0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Viés de seleção</w:t>
      </w:r>
      <w:r w:rsidRPr="00067B2E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:</w:t>
      </w:r>
    </w:p>
    <w:p w14:paraId="786E9A6E" w14:textId="77777777" w:rsidR="00612E2B" w:rsidRPr="00612E2B" w:rsidRDefault="00612E2B" w:rsidP="00612E2B">
      <w:pPr>
        <w:pStyle w:val="PargrafodaLista"/>
        <w:numPr>
          <w:ilvl w:val="1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612E2B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 xml:space="preserve">Tema: </w:t>
      </w:r>
      <w:r w:rsidRPr="00612E2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Falta de diversidade em ensaios clínicos podem comprometer a verificação de efetividade da vacina do Covid-19.</w:t>
      </w:r>
    </w:p>
    <w:p w14:paraId="462762ED" w14:textId="77777777" w:rsidR="00612E2B" w:rsidRPr="002858DF" w:rsidRDefault="00612E2B" w:rsidP="00612E2B">
      <w:pPr>
        <w:pStyle w:val="PargrafodaLista"/>
        <w:numPr>
          <w:ilvl w:val="1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Artigo</w:t>
      </w:r>
      <w:r w:rsidRPr="00EB78CD">
        <w:rPr>
          <w:rFonts w:ascii="Segoe UI" w:eastAsia="Times New Roman" w:hAnsi="Segoe UI" w:cs="Segoe UI"/>
          <w:color w:val="404040"/>
          <w:sz w:val="20"/>
          <w:szCs w:val="24"/>
          <w:lang w:eastAsia="pt-BR"/>
        </w:rPr>
        <w:t xml:space="preserve">: </w:t>
      </w:r>
      <w:r w:rsidRPr="00612E2B">
        <w:rPr>
          <w:rStyle w:val="Hyperlink"/>
        </w:rPr>
        <w:t>https://www.bbc.com/portuguese/geral-55067815</w:t>
      </w:r>
    </w:p>
    <w:p w14:paraId="700AE667" w14:textId="77777777" w:rsidR="00612E2B" w:rsidRPr="0055338B" w:rsidRDefault="00612E2B" w:rsidP="00612E2B">
      <w:pPr>
        <w:pStyle w:val="PargrafodaLista"/>
        <w:numPr>
          <w:ilvl w:val="1"/>
          <w:numId w:val="14"/>
        </w:numPr>
        <w:spacing w:before="240" w:after="0"/>
        <w:jc w:val="both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2858DF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lastRenderedPageBreak/>
        <w:t>Análise:</w:t>
      </w:r>
      <w:r w:rsidRPr="002858DF">
        <w:rPr>
          <w:rFonts w:ascii="Segoe UI" w:eastAsia="Times New Roman" w:hAnsi="Segoe UI" w:cs="Segoe UI"/>
          <w:color w:val="404040"/>
          <w:sz w:val="28"/>
          <w:szCs w:val="24"/>
          <w:lang w:eastAsia="pt-BR"/>
        </w:rPr>
        <w:t xml:space="preserve"> </w:t>
      </w:r>
      <w:r w:rsidRPr="00612E2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reportagem da BBC BRASIL (2020) destacou que a falta de diversidade em estudos clínicos pode levar a resultados enviesados, especialmente em relação à eficácia e segurança de tratamentos para grupos populacionais específicos, como mulheres e minorias étnicas.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No artigo é destacado que as empresas farmacêuticas afirmaram que 42% dos participantes tinham “origem ética diversa”, outra delas publicou que 63% eram homens brancos. No entanto como a maioria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dos afro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descendentes e latinos dos Estados Unidos eram o que eram mais impactados pela pandemia, os mesmos deveriam ter uma parcela mais significativa nos estudos clínicos.</w:t>
      </w:r>
    </w:p>
    <w:p w14:paraId="6D35E21F" w14:textId="77777777" w:rsidR="0055338B" w:rsidRDefault="0055338B" w:rsidP="0055338B">
      <w:pPr>
        <w:pStyle w:val="PargrafodaLista"/>
        <w:numPr>
          <w:ilvl w:val="0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Viés de confirmação</w:t>
      </w:r>
      <w:r w:rsidRPr="00067B2E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:</w:t>
      </w:r>
    </w:p>
    <w:p w14:paraId="47309DE5" w14:textId="77777777" w:rsidR="0055338B" w:rsidRPr="00612E2B" w:rsidRDefault="0055338B" w:rsidP="0055338B">
      <w:pPr>
        <w:pStyle w:val="PargrafodaLista"/>
        <w:numPr>
          <w:ilvl w:val="1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612E2B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 xml:space="preserve">Tema: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Masculinidade tóxica, palestra da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Camera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de Santo André em 2024</w:t>
      </w:r>
    </w:p>
    <w:p w14:paraId="2F2643EB" w14:textId="77777777" w:rsidR="0055338B" w:rsidRPr="002858DF" w:rsidRDefault="0055338B" w:rsidP="0055338B">
      <w:pPr>
        <w:pStyle w:val="PargrafodaLista"/>
        <w:numPr>
          <w:ilvl w:val="1"/>
          <w:numId w:val="14"/>
        </w:num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Artigo</w:t>
      </w:r>
      <w:r w:rsidRPr="00EB78CD">
        <w:rPr>
          <w:rFonts w:ascii="Segoe UI" w:eastAsia="Times New Roman" w:hAnsi="Segoe UI" w:cs="Segoe UI"/>
          <w:color w:val="404040"/>
          <w:sz w:val="20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Palestra da Rita Von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Hunty</w:t>
      </w:r>
      <w:proofErr w:type="spellEnd"/>
    </w:p>
    <w:p w14:paraId="6A084D29" w14:textId="77777777" w:rsidR="0055338B" w:rsidRPr="00612E2B" w:rsidRDefault="0055338B" w:rsidP="0055338B">
      <w:pPr>
        <w:pStyle w:val="PargrafodaLista"/>
        <w:numPr>
          <w:ilvl w:val="1"/>
          <w:numId w:val="14"/>
        </w:numPr>
        <w:spacing w:before="240" w:after="0"/>
        <w:jc w:val="both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r w:rsidRPr="002858DF"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  <w:t>Análise:</w:t>
      </w:r>
      <w:r w:rsidRPr="002858DF">
        <w:rPr>
          <w:rFonts w:ascii="Segoe UI" w:eastAsia="Times New Roman" w:hAnsi="Segoe UI" w:cs="Segoe UI"/>
          <w:color w:val="404040"/>
          <w:sz w:val="28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Palestra expôs a masculinidade tóxica presente na sociedade Brasileira. Embora não houve uma definição rígida do que seria masculinidade tóxica, a palestrante se utilizou de um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índicie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mensurável para defender o ponto de vista</w:t>
      </w:r>
      <w:r w:rsidRPr="0055338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número de feminicídio no Brasil. Se trata de um viés de confirmação porque no final ela conclui que a masculinidade tóxica tem origem no capitalismo, mas não menciona a mensuração do índice de feminicídio em outros países capitalistas, como este índice é em países socialistas e principalmente como seria difícil tal comparação posto que países diferentes definem feminicídios de maneiras diferentes.</w:t>
      </w:r>
    </w:p>
    <w:p w14:paraId="5B84FFF9" w14:textId="77777777" w:rsidR="0055338B" w:rsidRPr="0055338B" w:rsidRDefault="0055338B" w:rsidP="0055338B">
      <w:pPr>
        <w:spacing w:before="240" w:after="0"/>
        <w:ind w:left="993"/>
        <w:jc w:val="both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185CEABF" w14:textId="77777777" w:rsidR="00612E2B" w:rsidRPr="00612E2B" w:rsidRDefault="00612E2B" w:rsidP="00612E2B">
      <w:pPr>
        <w:spacing w:before="240" w:after="0"/>
        <w:ind w:left="993"/>
        <w:jc w:val="both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3FA65B75" w14:textId="77777777" w:rsidR="00B737A1" w:rsidRDefault="00B737A1" w:rsidP="00B737A1">
      <w:pPr>
        <w:pStyle w:val="PargrafodaLista"/>
        <w:spacing w:before="240" w:after="0"/>
        <w:ind w:left="1353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6C0F6893" w14:textId="77777777" w:rsidR="0055338B" w:rsidRDefault="0055338B" w:rsidP="00B737A1">
      <w:pPr>
        <w:pStyle w:val="PargrafodaLista"/>
        <w:spacing w:before="240" w:after="0"/>
        <w:ind w:left="1353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262BBDC6" w14:textId="77777777" w:rsidR="0055338B" w:rsidRDefault="0055338B" w:rsidP="00B737A1">
      <w:pPr>
        <w:pStyle w:val="PargrafodaLista"/>
        <w:spacing w:before="240" w:after="0"/>
        <w:ind w:left="1353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771C1DD5" w14:textId="77777777" w:rsidR="0055338B" w:rsidRDefault="0055338B" w:rsidP="00B737A1">
      <w:pPr>
        <w:pStyle w:val="PargrafodaLista"/>
        <w:spacing w:before="240" w:after="0"/>
        <w:ind w:left="1353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0CB16A78" w14:textId="77777777" w:rsidR="0055338B" w:rsidRPr="00612E2B" w:rsidRDefault="0055338B" w:rsidP="00B737A1">
      <w:pPr>
        <w:pStyle w:val="PargrafodaLista"/>
        <w:spacing w:before="240" w:after="0"/>
        <w:ind w:left="1353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  <w:bookmarkStart w:id="0" w:name="_GoBack"/>
      <w:bookmarkEnd w:id="0"/>
    </w:p>
    <w:p w14:paraId="0D4E3B43" w14:textId="77777777" w:rsidR="00EB78CD" w:rsidRPr="00EB78CD" w:rsidRDefault="00EB78CD" w:rsidP="00EB78CD">
      <w:p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0D443FA0" w14:textId="77777777" w:rsidR="006D36DF" w:rsidRDefault="006D36DF" w:rsidP="006D36DF">
      <w:p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0E499F24" w14:textId="77777777" w:rsidR="006D36DF" w:rsidRDefault="006D36DF" w:rsidP="006D36DF">
      <w:p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396ADC87" w14:textId="77777777" w:rsidR="006D36DF" w:rsidRDefault="006D36DF" w:rsidP="006D36DF">
      <w:pPr>
        <w:pStyle w:val="NormalWeb"/>
        <w:spacing w:before="0" w:beforeAutospacing="0" w:after="60" w:afterAutospacing="0"/>
        <w:rPr>
          <w:rFonts w:ascii="Segoe UI" w:hAnsi="Segoe UI" w:cs="Segoe UI"/>
          <w:color w:val="404040"/>
          <w:sz w:val="32"/>
        </w:rPr>
      </w:pPr>
      <w:r w:rsidRPr="006D36DF">
        <w:rPr>
          <w:rStyle w:val="Forte"/>
          <w:rFonts w:ascii="Segoe UI" w:hAnsi="Segoe UI" w:cs="Segoe UI"/>
          <w:color w:val="404040"/>
          <w:sz w:val="32"/>
        </w:rPr>
        <w:t>Bibliografia</w:t>
      </w:r>
      <w:r w:rsidRPr="006D36DF">
        <w:rPr>
          <w:rFonts w:ascii="Segoe UI" w:hAnsi="Segoe UI" w:cs="Segoe UI"/>
          <w:color w:val="404040"/>
          <w:sz w:val="32"/>
        </w:rPr>
        <w:t>:</w:t>
      </w:r>
    </w:p>
    <w:p w14:paraId="539B0693" w14:textId="77777777" w:rsidR="006D36DF" w:rsidRPr="006D36DF" w:rsidRDefault="006D36DF" w:rsidP="006D36DF">
      <w:pPr>
        <w:pStyle w:val="NormalWeb"/>
        <w:spacing w:before="0" w:beforeAutospacing="0" w:after="60" w:afterAutospacing="0"/>
        <w:rPr>
          <w:rFonts w:ascii="Segoe UI" w:hAnsi="Segoe UI" w:cs="Segoe UI"/>
          <w:color w:val="404040"/>
          <w:sz w:val="32"/>
        </w:rPr>
      </w:pPr>
    </w:p>
    <w:p w14:paraId="7D5825F1" w14:textId="77777777" w:rsidR="006D36DF" w:rsidRDefault="006D36DF" w:rsidP="006D36DF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6D36DF">
        <w:rPr>
          <w:rFonts w:ascii="Segoe UI" w:hAnsi="Segoe UI" w:cs="Segoe UI"/>
          <w:color w:val="404040"/>
          <w:lang w:val="en-US"/>
        </w:rPr>
        <w:t>PRIMACK, Brian A. et al. </w:t>
      </w:r>
      <w:r w:rsidRPr="006D36DF">
        <w:rPr>
          <w:rStyle w:val="Forte"/>
          <w:rFonts w:ascii="Segoe UI" w:hAnsi="Segoe UI" w:cs="Segoe UI"/>
          <w:color w:val="404040"/>
          <w:lang w:val="en-US"/>
        </w:rPr>
        <w:t>Social Media Use and Perceived Social Isolation Among Young Adults in the U.S.</w:t>
      </w:r>
      <w:r w:rsidRPr="006D36DF">
        <w:rPr>
          <w:rFonts w:ascii="Segoe UI" w:hAnsi="Segoe UI" w:cs="Segoe UI"/>
          <w:color w:val="404040"/>
          <w:lang w:val="en-US"/>
        </w:rPr>
        <w:t xml:space="preserve"> American Journal of Preventive Medicine, v. 53, n. 1, p. 1-8, 2017. </w:t>
      </w:r>
      <w:r>
        <w:rPr>
          <w:rFonts w:ascii="Segoe UI" w:hAnsi="Segoe UI" w:cs="Segoe UI"/>
          <w:color w:val="404040"/>
        </w:rPr>
        <w:t>Disponível em: </w:t>
      </w:r>
      <w:hyperlink r:id="rId7" w:history="1">
        <w:r w:rsidR="002858DF" w:rsidRPr="002858DF">
          <w:rPr>
            <w:rStyle w:val="Hyperlink"/>
            <w:rFonts w:ascii="Segoe UI" w:hAnsi="Segoe UI" w:cs="Segoe UI"/>
          </w:rPr>
          <w:t>https://www.ajpmonline.org/article/S0749-3797(17)30016-8/abstract</w:t>
        </w:r>
      </w:hyperlink>
      <w:r>
        <w:rPr>
          <w:rFonts w:ascii="Segoe UI" w:hAnsi="Segoe UI" w:cs="Segoe UI"/>
          <w:color w:val="404040"/>
        </w:rPr>
        <w:t xml:space="preserve">. Acesso em: </w:t>
      </w:r>
      <w:r w:rsidR="002858DF">
        <w:rPr>
          <w:rFonts w:ascii="Segoe UI" w:hAnsi="Segoe UI" w:cs="Segoe UI"/>
          <w:color w:val="404040"/>
        </w:rPr>
        <w:t>11/02/2025</w:t>
      </w:r>
      <w:r>
        <w:rPr>
          <w:rFonts w:ascii="Segoe UI" w:hAnsi="Segoe UI" w:cs="Segoe UI"/>
          <w:color w:val="404040"/>
        </w:rPr>
        <w:t>.</w:t>
      </w:r>
    </w:p>
    <w:p w14:paraId="39B48803" w14:textId="77777777" w:rsidR="00B737A1" w:rsidRDefault="00B737A1" w:rsidP="00B737A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B737A1">
        <w:rPr>
          <w:rFonts w:ascii="Segoe UI" w:hAnsi="Segoe UI" w:cs="Segoe UI"/>
          <w:color w:val="404040"/>
          <w:lang w:val="en-US"/>
        </w:rPr>
        <w:t>SMITH, John et al. </w:t>
      </w:r>
      <w:r w:rsidRPr="00B737A1">
        <w:rPr>
          <w:rStyle w:val="Forte"/>
          <w:rFonts w:ascii="Segoe UI" w:hAnsi="Segoe UI" w:cs="Segoe UI"/>
          <w:color w:val="404040"/>
          <w:lang w:val="en-US"/>
        </w:rPr>
        <w:t>The Relationship Between Car Ownership and Household Income: An Ecological Analysis</w:t>
      </w:r>
      <w:r w:rsidRPr="00B737A1">
        <w:rPr>
          <w:rFonts w:ascii="Segoe UI" w:hAnsi="Segoe UI" w:cs="Segoe UI"/>
          <w:color w:val="404040"/>
          <w:lang w:val="en-US"/>
        </w:rPr>
        <w:t xml:space="preserve">. Journal of Urban Economics, v. 45, n. 3, p. 123-135, 2015. </w:t>
      </w:r>
      <w:proofErr w:type="spellStart"/>
      <w:r w:rsidRPr="00B737A1">
        <w:rPr>
          <w:rFonts w:ascii="Segoe UI" w:hAnsi="Segoe UI" w:cs="Segoe UI"/>
          <w:color w:val="404040"/>
          <w:lang w:val="en-US"/>
        </w:rPr>
        <w:t>Disponível</w:t>
      </w:r>
      <w:proofErr w:type="spellEnd"/>
      <w:r w:rsidRPr="00B737A1">
        <w:rPr>
          <w:rFonts w:ascii="Segoe UI" w:hAnsi="Segoe UI" w:cs="Segoe UI"/>
          <w:color w:val="404040"/>
          <w:lang w:val="en-US"/>
        </w:rPr>
        <w:t xml:space="preserve"> </w:t>
      </w:r>
      <w:proofErr w:type="spellStart"/>
      <w:r w:rsidRPr="00B737A1">
        <w:rPr>
          <w:rFonts w:ascii="Segoe UI" w:hAnsi="Segoe UI" w:cs="Segoe UI"/>
          <w:color w:val="404040"/>
          <w:lang w:val="en-US"/>
        </w:rPr>
        <w:t>em</w:t>
      </w:r>
      <w:proofErr w:type="spellEnd"/>
      <w:r w:rsidRPr="00B737A1">
        <w:rPr>
          <w:rFonts w:ascii="Segoe UI" w:hAnsi="Segoe UI" w:cs="Segoe UI"/>
          <w:color w:val="404040"/>
          <w:lang w:val="en-US"/>
        </w:rPr>
        <w:t>: </w:t>
      </w:r>
      <w:hyperlink r:id="rId8" w:tgtFrame="_blank" w:history="1">
        <w:r w:rsidRPr="00B737A1">
          <w:rPr>
            <w:rStyle w:val="Hyperlink"/>
            <w:rFonts w:ascii="Segoe UI" w:hAnsi="Segoe UI" w:cs="Segoe UI"/>
            <w:lang w:val="en-US"/>
          </w:rPr>
          <w:t>https://doi.org/10.1016/j.jue.2015.03.002</w:t>
        </w:r>
      </w:hyperlink>
      <w:r w:rsidRPr="00B737A1">
        <w:rPr>
          <w:rFonts w:ascii="Segoe UI" w:hAnsi="Segoe UI" w:cs="Segoe UI"/>
          <w:color w:val="404040"/>
          <w:lang w:val="en-US"/>
        </w:rPr>
        <w:t xml:space="preserve">. </w:t>
      </w:r>
      <w:r>
        <w:rPr>
          <w:rFonts w:ascii="Segoe UI" w:hAnsi="Segoe UI" w:cs="Segoe UI"/>
          <w:color w:val="404040"/>
        </w:rPr>
        <w:t>Acesso em:</w:t>
      </w:r>
      <w:r>
        <w:rPr>
          <w:rFonts w:ascii="Segoe UI" w:hAnsi="Segoe UI" w:cs="Segoe UI"/>
          <w:color w:val="404040"/>
        </w:rPr>
        <w:t xml:space="preserve"> 11/02/2025</w:t>
      </w:r>
    </w:p>
    <w:p w14:paraId="5DD29F7F" w14:textId="77777777" w:rsidR="00612E2B" w:rsidRDefault="00612E2B" w:rsidP="00612E2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BBC BRASIL. </w:t>
      </w:r>
      <w:r>
        <w:rPr>
          <w:rStyle w:val="Forte"/>
          <w:rFonts w:ascii="Segoe UI" w:hAnsi="Segoe UI" w:cs="Segoe UI"/>
          <w:color w:val="404040"/>
        </w:rPr>
        <w:t>Falta de diversidade em estudos clínicos pode prejudicar tratamentos para mulheres e minorias</w:t>
      </w:r>
      <w:r>
        <w:rPr>
          <w:rFonts w:ascii="Segoe UI" w:hAnsi="Segoe UI" w:cs="Segoe UI"/>
          <w:color w:val="404040"/>
        </w:rPr>
        <w:t>. BBC Brasil, [</w:t>
      </w:r>
      <w:proofErr w:type="spellStart"/>
      <w:r>
        <w:rPr>
          <w:rFonts w:ascii="Segoe UI" w:hAnsi="Segoe UI" w:cs="Segoe UI"/>
          <w:color w:val="404040"/>
        </w:rPr>
        <w:t>s.l</w:t>
      </w:r>
      <w:proofErr w:type="spellEnd"/>
      <w:r>
        <w:rPr>
          <w:rFonts w:ascii="Segoe UI" w:hAnsi="Segoe UI" w:cs="Segoe UI"/>
          <w:color w:val="404040"/>
        </w:rPr>
        <w:t>.], 2020. Disponível em: </w:t>
      </w:r>
      <w:hyperlink r:id="rId9" w:tgtFrame="_blank" w:history="1">
        <w:r>
          <w:rPr>
            <w:rStyle w:val="Hyperlink"/>
            <w:rFonts w:ascii="Segoe UI" w:hAnsi="Segoe UI" w:cs="Segoe UI"/>
          </w:rPr>
          <w:t>https://www.bbc.com/portuguese/geral-55067815</w:t>
        </w:r>
      </w:hyperlink>
      <w:r>
        <w:rPr>
          <w:rFonts w:ascii="Segoe UI" w:hAnsi="Segoe UI" w:cs="Segoe UI"/>
          <w:color w:val="404040"/>
        </w:rPr>
        <w:t>. Acesso em: [inserir data de acesso].</w:t>
      </w:r>
    </w:p>
    <w:p w14:paraId="743DC51E" w14:textId="77777777" w:rsidR="00612E2B" w:rsidRDefault="00612E2B" w:rsidP="00B737A1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00C00504" w14:textId="77777777" w:rsidR="00B737A1" w:rsidRDefault="00B737A1" w:rsidP="006D36DF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618D1A55" w14:textId="77777777" w:rsidR="006D36DF" w:rsidRPr="006D36DF" w:rsidRDefault="006D36DF" w:rsidP="006D36DF">
      <w:pPr>
        <w:spacing w:before="240" w:after="0"/>
        <w:rPr>
          <w:rFonts w:ascii="Segoe UI" w:eastAsia="Times New Roman" w:hAnsi="Segoe UI" w:cs="Segoe UI"/>
          <w:b/>
          <w:color w:val="404040"/>
          <w:sz w:val="28"/>
          <w:szCs w:val="24"/>
          <w:lang w:eastAsia="pt-BR"/>
        </w:rPr>
      </w:pPr>
    </w:p>
    <w:p w14:paraId="7D380B57" w14:textId="77777777" w:rsidR="00067B2E" w:rsidRPr="00067B2E" w:rsidRDefault="00067B2E" w:rsidP="00067B2E">
      <w:pPr>
        <w:jc w:val="center"/>
        <w:rPr>
          <w:rFonts w:ascii="Segoe UI" w:eastAsia="Times New Roman" w:hAnsi="Segoe UI" w:cs="Segoe UI"/>
          <w:b/>
          <w:color w:val="404040"/>
          <w:sz w:val="24"/>
          <w:szCs w:val="24"/>
          <w:lang w:eastAsia="pt-BR"/>
        </w:rPr>
      </w:pPr>
    </w:p>
    <w:sectPr w:rsidR="00067B2E" w:rsidRPr="00067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A55"/>
    <w:multiLevelType w:val="multilevel"/>
    <w:tmpl w:val="7156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B4815"/>
    <w:multiLevelType w:val="hybridMultilevel"/>
    <w:tmpl w:val="C0CE2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014D"/>
    <w:multiLevelType w:val="multilevel"/>
    <w:tmpl w:val="488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A28EE"/>
    <w:multiLevelType w:val="multilevel"/>
    <w:tmpl w:val="F422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B615E"/>
    <w:multiLevelType w:val="multilevel"/>
    <w:tmpl w:val="4790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B579F"/>
    <w:multiLevelType w:val="multilevel"/>
    <w:tmpl w:val="858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A301E"/>
    <w:multiLevelType w:val="multilevel"/>
    <w:tmpl w:val="64A2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E33DA"/>
    <w:multiLevelType w:val="multilevel"/>
    <w:tmpl w:val="E2E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F01F2"/>
    <w:multiLevelType w:val="multilevel"/>
    <w:tmpl w:val="946A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B527D"/>
    <w:multiLevelType w:val="multilevel"/>
    <w:tmpl w:val="8708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61B97"/>
    <w:multiLevelType w:val="multilevel"/>
    <w:tmpl w:val="2E4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20F54"/>
    <w:multiLevelType w:val="multilevel"/>
    <w:tmpl w:val="731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2120B"/>
    <w:multiLevelType w:val="hybridMultilevel"/>
    <w:tmpl w:val="44B2B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53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A2E"/>
    <w:multiLevelType w:val="multilevel"/>
    <w:tmpl w:val="817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F7AD9"/>
    <w:multiLevelType w:val="multilevel"/>
    <w:tmpl w:val="710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F0D6C"/>
    <w:multiLevelType w:val="multilevel"/>
    <w:tmpl w:val="384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B491A"/>
    <w:multiLevelType w:val="multilevel"/>
    <w:tmpl w:val="724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15"/>
  </w:num>
  <w:num w:numId="8">
    <w:abstractNumId w:val="7"/>
  </w:num>
  <w:num w:numId="9">
    <w:abstractNumId w:val="14"/>
  </w:num>
  <w:num w:numId="10">
    <w:abstractNumId w:val="5"/>
  </w:num>
  <w:num w:numId="11">
    <w:abstractNumId w:val="16"/>
  </w:num>
  <w:num w:numId="12">
    <w:abstractNumId w:val="2"/>
  </w:num>
  <w:num w:numId="13">
    <w:abstractNumId w:val="1"/>
  </w:num>
  <w:num w:numId="14">
    <w:abstractNumId w:val="12"/>
  </w:num>
  <w:num w:numId="15">
    <w:abstractNumId w:val="13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F2"/>
    <w:rsid w:val="00067B2E"/>
    <w:rsid w:val="002858DF"/>
    <w:rsid w:val="002A1183"/>
    <w:rsid w:val="00332426"/>
    <w:rsid w:val="0055338B"/>
    <w:rsid w:val="005A3509"/>
    <w:rsid w:val="00612E2B"/>
    <w:rsid w:val="006D0F04"/>
    <w:rsid w:val="006D36DF"/>
    <w:rsid w:val="009A3F98"/>
    <w:rsid w:val="00AB63F2"/>
    <w:rsid w:val="00B737A1"/>
    <w:rsid w:val="00E602AF"/>
    <w:rsid w:val="00EB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841F"/>
  <w15:chartTrackingRefBased/>
  <w15:docId w15:val="{29CC9471-307A-441D-A8D3-3AC131A4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B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B63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B63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3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A35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36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3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ue.2015.03.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jpmonline.org/article/S0749-3797(17)30016-8/abstr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pmonline.org/article/S0749-3797(17)30016-8/abstra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jpmonline.org/article/S0749-3797(17)30016-8/abstra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bc.com/portuguese/geral-5506781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969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ARANTES GONCALVES</dc:creator>
  <cp:keywords/>
  <dc:description/>
  <cp:lastModifiedBy>ALEX ARANTES GONCALVES</cp:lastModifiedBy>
  <cp:revision>2</cp:revision>
  <cp:lastPrinted>2025-02-12T01:18:00Z</cp:lastPrinted>
  <dcterms:created xsi:type="dcterms:W3CDTF">2025-02-11T22:09:00Z</dcterms:created>
  <dcterms:modified xsi:type="dcterms:W3CDTF">2025-02-12T01:19:00Z</dcterms:modified>
</cp:coreProperties>
</file>