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India Butterfly Classification: Paper Design Document</w:t>
      </w:r>
    </w:p>
    <w:p>
      <w:pPr>
        <w:spacing w:after="80" w:before="0"/>
        <w:jc w:val="center"/>
      </w:pPr>
      <w:r>
        <w:rPr>
          <w:rFonts w:ascii="Arial" w:cs="Arial" w:eastAsia="Arial" w:hAnsi="Arial"/>
          <w:color w:val="2E75B6"/>
          <w:sz w:val="26"/>
          <w:szCs w:val="26"/>
        </w:rPr>
        <w:t xml:space="preserve">Research Planning &amp; Methodology Reference</w:t>
      </w:r>
    </w:p>
    <w:p>
      <w:pPr>
        <w:spacing w:after="480" w:before="0"/>
        <w:jc w:val="center"/>
      </w:pPr>
      <w:r>
        <w:rPr>
          <w:rFonts w:ascii="Arial" w:cs="Arial" w:eastAsia="Arial" w:hAnsi="Arial"/>
          <w:i/>
          <w:iCs/>
          <w:color w:val="888888"/>
          <w:sz w:val="20"/>
          <w:szCs w:val="20"/>
        </w:rPr>
        <w:t xml:space="preserve">Internal Team Document  |  Version 1.0</w:t>
      </w:r>
    </w:p>
    <w:p>
      <w:pPr>
        <w:pStyle w:val="Heading1"/>
        <w:spacing w:after="200" w:before="360"/>
      </w:pPr>
      <w:r>
        <w:rPr>
          <w:rFonts w:ascii="Arial" w:cs="Arial" w:eastAsia="Arial" w:hAnsi="Arial"/>
          <w:b/>
          <w:bCs/>
        </w:rPr>
        <w:t xml:space="preserve">1. Paper Overview and Dual Contribution Framework</w:t>
      </w:r>
    </w:p>
    <w:p>
      <w:pPr>
        <w:spacing w:after="160" w:before="80"/>
        <w:jc w:val="both"/>
      </w:pPr>
      <w:r>
        <w:rPr>
          <w:rFonts w:ascii="Arial" w:cs="Arial" w:eastAsia="Arial" w:hAnsi="Arial"/>
          <w:sz w:val="22"/>
          <w:szCs w:val="22"/>
        </w:rPr>
        <w:t xml:space="preserve">This paper makes two intertwined contributions: (1) a curated, India-specific butterfly image dataset with geotemporal metadata, and (2) a novel fine-grained classification model that exploits both visual and contextual (location + season) features. The paper's experimental design must be structured to validate both contributions independently, a design pattern seen in the thrips paper (Amarathunga et al., 2022) which simultaneously validated their dataset and ViT-based architecture.</w:t>
      </w:r>
    </w:p>
    <w:p>
      <w:pPr>
        <w:pStyle w:val="Heading2"/>
        <w:spacing w:after="160" w:before="280"/>
      </w:pPr>
      <w:r>
        <w:rPr>
          <w:rFonts w:ascii="Arial" w:cs="Arial" w:eastAsia="Arial" w:hAnsi="Arial"/>
          <w:b/>
          <w:bCs/>
        </w:rPr>
        <w:t xml:space="preserve">1.1 Core Claims the Paper Must Support</w:t>
      </w:r>
    </w:p>
    <w:p>
      <w:pPr>
        <w:pStyle w:val="ListParagraph"/>
        <w:numPr>
          <w:ilvl w:val="0"/>
          <w:numId w:val="2"/>
        </w:numPr>
        <w:spacing w:after="60" w:before="60"/>
      </w:pPr>
      <w:r>
        <w:rPr>
          <w:rFonts w:ascii="Arial" w:cs="Arial" w:eastAsia="Arial" w:hAnsi="Arial"/>
          <w:sz w:val="22"/>
          <w:szCs w:val="22"/>
        </w:rPr>
        <w:t xml:space="preserve">The dataset is ecologically valid and sufficiently diverse to represent Indian butterfly biodiversity.</w:t>
      </w:r>
    </w:p>
    <w:p>
      <w:pPr>
        <w:pStyle w:val="ListParagraph"/>
        <w:numPr>
          <w:ilvl w:val="0"/>
          <w:numId w:val="2"/>
        </w:numPr>
        <w:spacing w:after="60" w:before="60"/>
      </w:pPr>
      <w:r>
        <w:rPr>
          <w:rFonts w:ascii="Arial" w:cs="Arial" w:eastAsia="Arial" w:hAnsi="Arial"/>
          <w:sz w:val="22"/>
          <w:szCs w:val="22"/>
        </w:rPr>
        <w:t xml:space="preserve">Geotemporal metadata (location + seasonality) measurably improves classification accuracy over vision-only baselines.</w:t>
      </w:r>
    </w:p>
    <w:p>
      <w:pPr>
        <w:pStyle w:val="ListParagraph"/>
        <w:numPr>
          <w:ilvl w:val="0"/>
          <w:numId w:val="2"/>
        </w:numPr>
        <w:spacing w:after="60" w:before="60"/>
      </w:pPr>
      <w:r>
        <w:rPr>
          <w:rFonts w:ascii="Arial" w:cs="Arial" w:eastAsia="Arial" w:hAnsi="Arial"/>
          <w:sz w:val="22"/>
          <w:szCs w:val="22"/>
        </w:rPr>
        <w:t xml:space="preserve">The model handles the extreme class imbalance (~400 classes with fewer than 50 images) better than standard approaches.</w:t>
      </w:r>
    </w:p>
    <w:p>
      <w:pPr>
        <w:pStyle w:val="ListParagraph"/>
        <w:numPr>
          <w:ilvl w:val="0"/>
          <w:numId w:val="2"/>
        </w:numPr>
        <w:spacing w:after="60" w:before="60"/>
      </w:pPr>
      <w:r>
        <w:rPr>
          <w:rFonts w:ascii="Arial" w:cs="Arial" w:eastAsia="Arial" w:hAnsi="Arial"/>
          <w:sz w:val="22"/>
          <w:szCs w:val="22"/>
        </w:rPr>
        <w:t xml:space="preserve">The architecture is competitive on established benchmarks (CUB-200-2011), demonstrating it is not overfit to the Indian dataset alone.</w:t>
      </w:r>
    </w:p>
    <w:p>
      <w:pPr>
        <w:spacing w:after="80" w:before="80"/>
      </w:pPr>
      <w:r>
        <w:t xml:space="preserve"/>
      </w:r>
    </w:p>
    <w:p>
      <w:pPr>
        <w:pStyle w:val="Heading1"/>
        <w:spacing w:after="200" w:before="360"/>
      </w:pPr>
      <w:r>
        <w:rPr>
          <w:rFonts w:ascii="Arial" w:cs="Arial" w:eastAsia="Arial" w:hAnsi="Arial"/>
          <w:b/>
          <w:bCs/>
        </w:rPr>
        <w:t xml:space="preserve">2. Dataset Description and Quality Validation</w:t>
      </w:r>
    </w:p>
    <w:p>
      <w:pPr>
        <w:pStyle w:val="Heading2"/>
        <w:spacing w:after="160" w:before="280"/>
      </w:pPr>
      <w:r>
        <w:rPr>
          <w:rFonts w:ascii="Arial" w:cs="Arial" w:eastAsia="Arial" w:hAnsi="Arial"/>
          <w:b/>
          <w:bCs/>
        </w:rPr>
        <w:t xml:space="preserve">2.1 Dataset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Property</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Value</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Total Classes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~900 butterfly species</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India-specific taxonomy</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Classes with &gt;50 images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~500</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Dense split</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Classes with &lt;50 images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~400</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Sparse split — requires special handling</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Metadata available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GPS location, date</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Enables seasonal inference</w:t>
            </w:r>
          </w:p>
        </w:tc>
      </w:tr>
      <w:tr>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Primary challenge</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Inter-species visual similarity</w:t>
            </w:r>
          </w:p>
        </w:tc>
        <w:tc>
          <w:tcPr>
            <w:tcW w:type="dxa" w:w="312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Analogous to thrips &amp; fly classification papers</w:t>
            </w:r>
          </w:p>
        </w:tc>
      </w:tr>
    </w:tbl>
    <w:p>
      <w:pPr>
        <w:spacing w:after="80" w:before="80"/>
      </w:pPr>
      <w:r>
        <w:t xml:space="preserve"/>
      </w:r>
    </w:p>
    <w:p>
      <w:pPr>
        <w:pStyle w:val="Heading2"/>
        <w:spacing w:after="160" w:before="280"/>
      </w:pPr>
      <w:r>
        <w:rPr>
          <w:rFonts w:ascii="Arial" w:cs="Arial" w:eastAsia="Arial" w:hAnsi="Arial"/>
          <w:b/>
          <w:bCs/>
        </w:rPr>
        <w:t xml:space="preserve">2.2 Dataset Quality Validation Strategy</w:t>
      </w:r>
    </w:p>
    <w:p>
      <w:pPr>
        <w:spacing w:after="120" w:before="80"/>
        <w:jc w:val="both"/>
      </w:pPr>
      <w:r>
        <w:rPr>
          <w:rFonts w:ascii="Arial" w:cs="Arial" w:eastAsia="Arial" w:hAnsi="Arial"/>
          <w:sz w:val="22"/>
          <w:szCs w:val="22"/>
        </w:rPr>
        <w:t xml:space="preserve">A key challenge this paper must address is demonstrating that lower model performance on the Indian dataset (compared to CUB-200-2011) reflects genuine ecological complexity, not poor dataset quality. The following multi-pronged validation strategy is proposed:</w:t>
      </w:r>
    </w:p>
    <w:p>
      <w:pPr>
        <w:pStyle w:val="Heading3"/>
        <w:spacing w:after="120" w:before="200"/>
      </w:pPr>
      <w:r>
        <w:rPr>
          <w:rFonts w:ascii="Arial" w:cs="Arial" w:eastAsia="Arial" w:hAnsi="Arial"/>
          <w:b/>
          <w:bCs/>
        </w:rPr>
        <w:t xml:space="preserve">2.2.1 Inter-Rater Agreement</w:t>
      </w:r>
    </w:p>
    <w:p>
      <w:pPr>
        <w:pStyle w:val="ListParagraph"/>
        <w:numPr>
          <w:ilvl w:val="0"/>
          <w:numId w:val="3"/>
        </w:numPr>
        <w:spacing w:after="60" w:before="60"/>
      </w:pPr>
      <w:r>
        <w:rPr>
          <w:rFonts w:ascii="Arial" w:cs="Arial" w:eastAsia="Arial" w:hAnsi="Arial"/>
          <w:sz w:val="22"/>
          <w:szCs w:val="22"/>
        </w:rPr>
        <w:t xml:space="preserve">Have at least two independent annotators (ideally one domain expert entomologist) label a random 10% subset of images.</w:t>
      </w:r>
    </w:p>
    <w:p>
      <w:pPr>
        <w:pStyle w:val="ListParagraph"/>
        <w:numPr>
          <w:ilvl w:val="0"/>
          <w:numId w:val="3"/>
        </w:numPr>
        <w:spacing w:after="60" w:before="60"/>
      </w:pPr>
      <w:r>
        <w:rPr>
          <w:rFonts w:ascii="Arial" w:cs="Arial" w:eastAsia="Arial" w:hAnsi="Arial"/>
          <w:sz w:val="22"/>
          <w:szCs w:val="22"/>
        </w:rPr>
        <w:t xml:space="preserve">Report Cohen's Kappa or Fleiss' Kappa as a labeling quality metric. Amarathunga et al. (2022) used a similar 10% expert verification approach for their thrips dataset.</w:t>
      </w:r>
    </w:p>
    <w:p>
      <w:pPr>
        <w:pStyle w:val="ListParagraph"/>
        <w:numPr>
          <w:ilvl w:val="0"/>
          <w:numId w:val="3"/>
        </w:numPr>
        <w:spacing w:after="60" w:before="60"/>
      </w:pPr>
      <w:r>
        <w:rPr>
          <w:rFonts w:ascii="Arial" w:cs="Arial" w:eastAsia="Arial" w:hAnsi="Arial"/>
          <w:sz w:val="22"/>
          <w:szCs w:val="22"/>
        </w:rPr>
        <w:t xml:space="preserve">Any species with Kappa &lt; 0.6 should be flagged for review or merged with a parent taxon.</w:t>
      </w:r>
    </w:p>
    <w:p>
      <w:pPr>
        <w:spacing w:after="80" w:before="80"/>
      </w:pPr>
      <w:r>
        <w:t xml:space="preserve"/>
      </w:r>
    </w:p>
    <w:p>
      <w:pPr>
        <w:pStyle w:val="Heading3"/>
        <w:spacing w:after="120" w:before="200"/>
      </w:pPr>
      <w:r>
        <w:rPr>
          <w:rFonts w:ascii="Arial" w:cs="Arial" w:eastAsia="Arial" w:hAnsi="Arial"/>
          <w:b/>
          <w:bCs/>
        </w:rPr>
        <w:t xml:space="preserve">2.2.2 Confusion Matrix Analysis as Dataset Probe</w:t>
      </w:r>
    </w:p>
    <w:p>
      <w:pPr>
        <w:pStyle w:val="ListParagraph"/>
        <w:numPr>
          <w:ilvl w:val="0"/>
          <w:numId w:val="3"/>
        </w:numPr>
        <w:spacing w:after="60" w:before="60"/>
      </w:pPr>
      <w:r>
        <w:rPr>
          <w:rFonts w:ascii="Arial" w:cs="Arial" w:eastAsia="Arial" w:hAnsi="Arial"/>
          <w:sz w:val="22"/>
          <w:szCs w:val="22"/>
        </w:rPr>
        <w:t xml:space="preserve">Run a strong baseline model (e.g., pretrained ResNet-101 or ViT-B/16) and examine the confusion matrix. Systematic confusion between species X and Y is evidence of real morphological similarity, not labeling error.</w:t>
      </w:r>
    </w:p>
    <w:p>
      <w:pPr>
        <w:pStyle w:val="ListParagraph"/>
        <w:numPr>
          <w:ilvl w:val="0"/>
          <w:numId w:val="3"/>
        </w:numPr>
        <w:spacing w:after="60" w:before="60"/>
      </w:pPr>
      <w:r>
        <w:rPr>
          <w:rFonts w:ascii="Arial" w:cs="Arial" w:eastAsia="Arial" w:hAnsi="Arial"/>
          <w:sz w:val="22"/>
          <w:szCs w:val="22"/>
        </w:rPr>
        <w:t xml:space="preserve">Compare confusions to known taxonomic proximity. If the model confuses species from the same genus more often than species from different genera, this validates both the dataset difficulty and its ecological coherence.</w:t>
      </w:r>
    </w:p>
    <w:p>
      <w:pPr>
        <w:pStyle w:val="ListParagraph"/>
        <w:numPr>
          <w:ilvl w:val="0"/>
          <w:numId w:val="3"/>
        </w:numPr>
        <w:spacing w:after="60" w:before="60"/>
      </w:pPr>
      <w:r>
        <w:rPr>
          <w:rFonts w:ascii="Arial" w:cs="Arial" w:eastAsia="Arial" w:hAnsi="Arial"/>
          <w:sz w:val="22"/>
          <w:szCs w:val="22"/>
        </w:rPr>
        <w:t xml:space="preserve">This approach mirrors the FGBNet paper's use of Grad-CAM to confirm that model attention aligns with discriminative biological features.</w:t>
      </w:r>
    </w:p>
    <w:p>
      <w:pPr>
        <w:spacing w:after="80" w:before="80"/>
      </w:pPr>
      <w:r>
        <w:t xml:space="preserve"/>
      </w:r>
    </w:p>
    <w:p>
      <w:pPr>
        <w:pStyle w:val="Heading3"/>
        <w:spacing w:after="120" w:before="200"/>
      </w:pPr>
      <w:r>
        <w:rPr>
          <w:rFonts w:ascii="Arial" w:cs="Arial" w:eastAsia="Arial" w:hAnsi="Arial"/>
          <w:b/>
          <w:bCs/>
        </w:rPr>
        <w:t xml:space="preserve">2.2.3 Distribution and Bias Analysis</w:t>
      </w:r>
    </w:p>
    <w:p>
      <w:pPr>
        <w:pStyle w:val="ListParagraph"/>
        <w:numPr>
          <w:ilvl w:val="0"/>
          <w:numId w:val="3"/>
        </w:numPr>
        <w:spacing w:after="60" w:before="60"/>
      </w:pPr>
      <w:r>
        <w:rPr>
          <w:rFonts w:ascii="Arial" w:cs="Arial" w:eastAsia="Arial" w:hAnsi="Arial"/>
          <w:sz w:val="22"/>
          <w:szCs w:val="22"/>
        </w:rPr>
        <w:t xml:space="preserve">Plot class frequency distribution (log scale). This is standard practice and should appear in the paper.</w:t>
      </w:r>
    </w:p>
    <w:p>
      <w:pPr>
        <w:pStyle w:val="ListParagraph"/>
        <w:numPr>
          <w:ilvl w:val="0"/>
          <w:numId w:val="3"/>
        </w:numPr>
        <w:spacing w:after="60" w:before="60"/>
      </w:pPr>
      <w:r>
        <w:rPr>
          <w:rFonts w:ascii="Arial" w:cs="Arial" w:eastAsia="Arial" w:hAnsi="Arial"/>
          <w:sz w:val="22"/>
          <w:szCs w:val="22"/>
        </w:rPr>
        <w:t xml:space="preserve">Analyze geographic and seasonal coverage: are rare species systematically under-collected from certain regions or seasons? This is both a limitation and an interesting ecological finding.</w:t>
      </w:r>
    </w:p>
    <w:p>
      <w:pPr>
        <w:pStyle w:val="ListParagraph"/>
        <w:numPr>
          <w:ilvl w:val="0"/>
          <w:numId w:val="3"/>
        </w:numPr>
        <w:spacing w:after="60" w:before="60"/>
      </w:pPr>
      <w:r>
        <w:rPr>
          <w:rFonts w:ascii="Arial" w:cs="Arial" w:eastAsia="Arial" w:hAnsi="Arial"/>
          <w:sz w:val="22"/>
          <w:szCs w:val="22"/>
        </w:rPr>
        <w:t xml:space="preserve">Cross-reference species presence with known Indian butterfly field guides (e.g., Isaac Kehimkar's 'The Book of Indian Butterflies') to validate ecological plausibility of the distribution.</w:t>
      </w:r>
    </w:p>
    <w:p>
      <w:pPr>
        <w:spacing w:after="80" w:before="80"/>
      </w:pPr>
      <w:r>
        <w:t xml:space="preserve"/>
      </w:r>
    </w:p>
    <w:p>
      <w:pPr>
        <w:pStyle w:val="Heading3"/>
        <w:spacing w:after="120" w:before="200"/>
      </w:pPr>
      <w:r>
        <w:rPr>
          <w:rFonts w:ascii="Arial" w:cs="Arial" w:eastAsia="Arial" w:hAnsi="Arial"/>
          <w:b/>
          <w:bCs/>
        </w:rPr>
        <w:t xml:space="preserve">2.2.4 Benchmark Cross-Testing</w:t>
      </w:r>
    </w:p>
    <w:p>
      <w:pPr>
        <w:pStyle w:val="ListParagraph"/>
        <w:numPr>
          <w:ilvl w:val="0"/>
          <w:numId w:val="3"/>
        </w:numPr>
        <w:spacing w:after="60" w:before="60"/>
      </w:pPr>
      <w:r>
        <w:rPr>
          <w:rFonts w:ascii="Arial" w:cs="Arial" w:eastAsia="Arial" w:hAnsi="Arial"/>
          <w:sz w:val="22"/>
          <w:szCs w:val="22"/>
        </w:rPr>
        <w:t xml:space="preserve">Train on CUB-200-2011, test on your dataset (zero-shot transfer) for overlapping species. If performance is non-trivial, this shows the visual features learned are real and transferable.</w:t>
      </w:r>
    </w:p>
    <w:p>
      <w:pPr>
        <w:pStyle w:val="ListParagraph"/>
        <w:numPr>
          <w:ilvl w:val="0"/>
          <w:numId w:val="3"/>
        </w:numPr>
        <w:spacing w:after="60" w:before="60"/>
      </w:pPr>
      <w:r>
        <w:rPr>
          <w:rFonts w:ascii="Arial" w:cs="Arial" w:eastAsia="Arial" w:hAnsi="Arial"/>
          <w:sz w:val="22"/>
          <w:szCs w:val="22"/>
        </w:rPr>
        <w:t xml:space="preserve">Train on your dataset, test on CUB-200-2011 for any overlapping species as a reverse transfer check.</w:t>
      </w:r>
    </w:p>
    <w:p>
      <w:pPr>
        <w:spacing w:after="80" w:before="80"/>
      </w:pPr>
      <w:r>
        <w:t xml:space="preserve"/>
      </w:r>
    </w:p>
    <w:p>
      <w:pPr>
        <w:pStyle w:val="Heading1"/>
        <w:spacing w:after="200" w:before="360"/>
      </w:pPr>
      <w:r>
        <w:rPr>
          <w:rFonts w:ascii="Arial" w:cs="Arial" w:eastAsia="Arial" w:hAnsi="Arial"/>
          <w:b/>
          <w:bCs/>
        </w:rPr>
        <w:t xml:space="preserve">3. Known Challenges and Proposed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Challenge</w:t>
            </w:r>
          </w:p>
        </w:tc>
        <w:tc>
          <w:tcPr>
            <w:tcW w:type="dxa" w:w="33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It Is Hard</w:t>
            </w:r>
          </w:p>
        </w:tc>
        <w:tc>
          <w:tcPr>
            <w:tcW w:type="dxa" w:w="33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Proposed Solution</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Extreme class imbalance (400 sparse classes)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Standard cross-entropy biases toward frequent classes; rare species get effectively no gradient signal.</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Focal loss + class-balanced sampling + prototypical network head for sparse classes. See SLR (Amarathunga et al., 2021) Section 5.</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High inter-species visual similarity</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Many Indian butterfly species differ only in subtle wing banding or UV-range patterns not captured in standard RGB. Analogous to fly species (FGBNet ref [18]) and thrips problem.</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Multi-level feature fusion (FGBNet approach) + patch-level attention (ViT-based) + domain-knowledge-driven augmentation targeting discriminative wing regions.</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Limited labeled data for sparse classes</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Deep learning generally needs hundreds of examples per class; 400 classes have fewer than 50.</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Self-supervised pretraining (DINO/MAE) on all available butterfly images before supervised fine-tuning. Reduces labeled data requirements significantly.</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Intra-species variation (sex, age, season)</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Same species can look dramatically different. Male/female dimorphism is pronounced in many Indian butterflies (e.g., Papilionidae). SLR flags this as an open problem.</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Include sex/age metadata where available. Alternatively, treat as hard negatives in contrastive pretraining so the model learns invariance within species.</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Background clutter</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Field photographs have complex, class-correlated backgrounds (e.g., species found only in rainforest vs. grassland). Model may learn habitat rather than butterfly.</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Background augmentation (random background pasting) + foreground segmentation as a preprocessing step. EDP module from the thrips paper is directly applicable here.</w:t>
            </w:r>
          </w:p>
        </w:tc>
      </w:tr>
      <w:tr>
        <w:tc>
          <w:tcPr>
            <w:tcW w:type="dxa" w:w="26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Geographic and seasonal distribution shift</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 model trained mostly on Western Ghats images may fail on Himalayan subspecies of the same species.</w:t>
            </w:r>
          </w:p>
        </w:tc>
        <w:tc>
          <w:tcPr>
            <w:tcW w:type="dxa" w:w="33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Report per-region performance separately. Use geographic embeddings as auxiliary features (see Section 4.3). Flag in limitations.</w:t>
            </w:r>
          </w:p>
        </w:tc>
      </w:tr>
    </w:tbl>
    <w:p>
      <w:pPr>
        <w:spacing w:after="80" w:before="80"/>
      </w:pPr>
      <w:r>
        <w:t xml:space="preserve"/>
      </w:r>
    </w:p>
    <w:p>
      <w:pPr>
        <w:pStyle w:val="Heading1"/>
        <w:spacing w:after="200" w:before="360"/>
      </w:pPr>
      <w:r>
        <w:rPr>
          <w:rFonts w:ascii="Arial" w:cs="Arial" w:eastAsia="Arial" w:hAnsi="Arial"/>
          <w:b/>
          <w:bCs/>
        </w:rPr>
        <w:t xml:space="preserve">4. Geotemporal Metadata: Location and Season as Features</w:t>
      </w:r>
    </w:p>
    <w:p>
      <w:pPr>
        <w:spacing w:after="120" w:before="80"/>
        <w:jc w:val="both"/>
      </w:pPr>
      <w:r>
        <w:rPr>
          <w:rFonts w:ascii="Arial" w:cs="Arial" w:eastAsia="Arial" w:hAnsi="Arial"/>
          <w:b/>
          <w:bCs/>
          <w:sz w:val="22"/>
          <w:szCs w:val="22"/>
        </w:rPr>
        <w:t xml:space="preserve">This is one of the most distinctive and potentially high-impact aspects of this work. No paper reviewed in this study (including the SLR, thrips paper, bird classification paper, or FGBNet) incorporates geotemporal context. This is a genuine methodological novelty.</w:t>
      </w:r>
    </w:p>
    <w:p>
      <w:pPr>
        <w:pStyle w:val="Heading2"/>
        <w:spacing w:after="160" w:before="280"/>
      </w:pPr>
      <w:r>
        <w:rPr>
          <w:rFonts w:ascii="Arial" w:cs="Arial" w:eastAsia="Arial" w:hAnsi="Arial"/>
          <w:b/>
          <w:bCs/>
        </w:rPr>
        <w:t xml:space="preserve">4.1 Ecological Basis for This Feature</w:t>
      </w:r>
    </w:p>
    <w:p>
      <w:pPr>
        <w:pStyle w:val="ListParagraph"/>
        <w:numPr>
          <w:ilvl w:val="0"/>
          <w:numId w:val="3"/>
        </w:numPr>
        <w:spacing w:after="60" w:before="60"/>
      </w:pPr>
      <w:r>
        <w:rPr>
          <w:rFonts w:ascii="Arial" w:cs="Arial" w:eastAsia="Arial" w:hAnsi="Arial"/>
          <w:sz w:val="22"/>
          <w:szCs w:val="22"/>
        </w:rPr>
        <w:t xml:space="preserve">Many Indian butterfly species have non-overlapping or partially overlapping geographic ranges. A species seen in Kerala is unlikely to be a Himalayan endemic even if the visual features are ambiguous.</w:t>
      </w:r>
    </w:p>
    <w:p>
      <w:pPr>
        <w:pStyle w:val="ListParagraph"/>
        <w:numPr>
          <w:ilvl w:val="0"/>
          <w:numId w:val="3"/>
        </w:numPr>
        <w:spacing w:after="60" w:before="60"/>
      </w:pPr>
      <w:r>
        <w:rPr>
          <w:rFonts w:ascii="Arial" w:cs="Arial" w:eastAsia="Arial" w:hAnsi="Arial"/>
          <w:sz w:val="22"/>
          <w:szCs w:val="22"/>
        </w:rPr>
        <w:t xml:space="preserve">Butterfly activity is strongly seasonal. Many species fly only during specific monsoon or post-monsoon windows. The SLR (Amarathunga et al., 2021) notes insect distributions are time-dependent and flags this as an open problem — this paper directly addresses it.</w:t>
      </w:r>
    </w:p>
    <w:p>
      <w:pPr>
        <w:pStyle w:val="ListParagraph"/>
        <w:numPr>
          <w:ilvl w:val="0"/>
          <w:numId w:val="3"/>
        </w:numPr>
        <w:spacing w:after="60" w:before="60"/>
      </w:pPr>
      <w:r>
        <w:rPr>
          <w:rFonts w:ascii="Arial" w:cs="Arial" w:eastAsia="Arial" w:hAnsi="Arial"/>
          <w:sz w:val="22"/>
          <w:szCs w:val="22"/>
        </w:rPr>
        <w:t xml:space="preserve">At taxonomic decision boundaries (e.g., two visually identical subspecies with allopatric distributions), location can be the deciding feature.</w:t>
      </w:r>
    </w:p>
    <w:p>
      <w:pPr>
        <w:spacing w:after="80" w:before="80"/>
      </w:pPr>
      <w:r>
        <w:t xml:space="preserve"/>
      </w:r>
    </w:p>
    <w:p>
      <w:pPr>
        <w:pStyle w:val="Heading2"/>
        <w:spacing w:after="160" w:before="280"/>
      </w:pPr>
      <w:r>
        <w:rPr>
          <w:rFonts w:ascii="Arial" w:cs="Arial" w:eastAsia="Arial" w:hAnsi="Arial"/>
          <w:b/>
          <w:bCs/>
        </w:rPr>
        <w:t xml:space="preserve">4.2 How to Encode Location</w:t>
      </w:r>
    </w:p>
    <w:p>
      <w:pPr>
        <w:pStyle w:val="ListParagraph"/>
        <w:numPr>
          <w:ilvl w:val="0"/>
          <w:numId w:val="3"/>
        </w:numPr>
        <w:spacing w:after="60" w:before="60"/>
      </w:pPr>
      <w:r>
        <w:rPr>
          <w:rFonts w:ascii="Arial" w:cs="Arial" w:eastAsia="Arial" w:hAnsi="Arial"/>
          <w:sz w:val="22"/>
          <w:szCs w:val="22"/>
        </w:rPr>
        <w:t xml:space="preserve">Raw GPS coordinates are not useful directly due to sparsity and sensitivity to exact coordinates.</w:t>
      </w:r>
    </w:p>
    <w:p>
      <w:pPr>
        <w:pStyle w:val="ListParagraph"/>
        <w:numPr>
          <w:ilvl w:val="0"/>
          <w:numId w:val="3"/>
        </w:numPr>
        <w:spacing w:after="60" w:before="60"/>
      </w:pPr>
      <w:r>
        <w:rPr>
          <w:rFonts w:ascii="Arial" w:cs="Arial" w:eastAsia="Arial" w:hAnsi="Arial"/>
          <w:sz w:val="22"/>
          <w:szCs w:val="22"/>
        </w:rPr>
        <w:t xml:space="preserve">Option A — Biogeographic zone encoding: Map GPS to one of the established Indian biogeographic zones (Western Ghats, Indo-Gangetic Plain, Himalayan, Deccan Peninsula, Northeast, Andaman &amp; Nicobar, etc.) and use as a categorical feature. Simple, interpretable, ecologically motivated.</w:t>
      </w:r>
    </w:p>
    <w:p>
      <w:pPr>
        <w:pStyle w:val="ListParagraph"/>
        <w:numPr>
          <w:ilvl w:val="0"/>
          <w:numId w:val="3"/>
        </w:numPr>
        <w:spacing w:after="60" w:before="60"/>
      </w:pPr>
      <w:r>
        <w:rPr>
          <w:rFonts w:ascii="Arial" w:cs="Arial" w:eastAsia="Arial" w:hAnsi="Arial"/>
          <w:sz w:val="22"/>
          <w:szCs w:val="22"/>
        </w:rPr>
        <w:t xml:space="preserve">Option B — Continuous spatial embedding: Use a sinusoidal positional encoding of latitude/longitude (similar to positional encodings in transformers). Captures spatial gradients across zones rather than hard boundaries.</w:t>
      </w:r>
    </w:p>
    <w:p>
      <w:pPr>
        <w:pStyle w:val="ListParagraph"/>
        <w:numPr>
          <w:ilvl w:val="0"/>
          <w:numId w:val="3"/>
        </w:numPr>
        <w:spacing w:after="60" w:before="60"/>
      </w:pPr>
      <w:r>
        <w:rPr>
          <w:rFonts w:ascii="Arial" w:cs="Arial" w:eastAsia="Arial" w:hAnsi="Arial"/>
          <w:sz w:val="22"/>
          <w:szCs w:val="22"/>
        </w:rPr>
        <w:t xml:space="preserve">Option C — Habitat type from coordinates: Cross-reference GPS with land cover maps (e.g., ISRO Bhuvan) to get forest type, elevation class. Richer but requires external data processing.</w:t>
      </w:r>
    </w:p>
    <w:p>
      <w:pPr>
        <w:pStyle w:val="ListParagraph"/>
        <w:numPr>
          <w:ilvl w:val="0"/>
          <w:numId w:val="3"/>
        </w:numPr>
        <w:spacing w:after="60" w:before="60"/>
      </w:pPr>
      <w:r>
        <w:rPr>
          <w:rFonts w:ascii="Arial" w:cs="Arial" w:eastAsia="Arial" w:hAnsi="Arial"/>
          <w:sz w:val="22"/>
          <w:szCs w:val="22"/>
        </w:rPr>
        <w:t xml:space="preserve">Recommendation: Start with Option A for the ablation baseline, then test Option B. Report both.</w:t>
      </w:r>
    </w:p>
    <w:p>
      <w:pPr>
        <w:spacing w:after="80" w:before="80"/>
      </w:pPr>
      <w:r>
        <w:t xml:space="preserve"/>
      </w:r>
    </w:p>
    <w:p>
      <w:pPr>
        <w:pStyle w:val="Heading2"/>
        <w:spacing w:after="160" w:before="280"/>
      </w:pPr>
      <w:r>
        <w:rPr>
          <w:rFonts w:ascii="Arial" w:cs="Arial" w:eastAsia="Arial" w:hAnsi="Arial"/>
          <w:b/>
          <w:bCs/>
        </w:rPr>
        <w:t xml:space="preserve">4.3 How to Encode Season</w:t>
      </w:r>
    </w:p>
    <w:p>
      <w:pPr>
        <w:pStyle w:val="ListParagraph"/>
        <w:numPr>
          <w:ilvl w:val="0"/>
          <w:numId w:val="3"/>
        </w:numPr>
        <w:spacing w:after="60" w:before="60"/>
      </w:pPr>
      <w:r>
        <w:rPr>
          <w:rFonts w:ascii="Arial" w:cs="Arial" w:eastAsia="Arial" w:hAnsi="Arial"/>
          <w:sz w:val="22"/>
          <w:szCs w:val="22"/>
        </w:rPr>
        <w:t xml:space="preserve">Convert date to one of four meteorological seasons for India: Winter (Dec-Feb), Pre-monsoon/Summer (Mar-May), Monsoon (Jun-Sep), Post-monsoon (Oct-Nov). Use as a 4-class categorical feature.</w:t>
      </w:r>
    </w:p>
    <w:p>
      <w:pPr>
        <w:pStyle w:val="ListParagraph"/>
        <w:numPr>
          <w:ilvl w:val="0"/>
          <w:numId w:val="3"/>
        </w:numPr>
        <w:spacing w:after="60" w:before="60"/>
      </w:pPr>
      <w:r>
        <w:rPr>
          <w:rFonts w:ascii="Arial" w:cs="Arial" w:eastAsia="Arial" w:hAnsi="Arial"/>
          <w:sz w:val="22"/>
          <w:szCs w:val="22"/>
        </w:rPr>
        <w:t xml:space="preserve">Alternative: Use the month directly as a cyclic encoding (sin/cos of month number) to preserve the circular nature of time (December is adjacent to January).</w:t>
      </w:r>
    </w:p>
    <w:p>
      <w:pPr>
        <w:pStyle w:val="ListParagraph"/>
        <w:numPr>
          <w:ilvl w:val="0"/>
          <w:numId w:val="3"/>
        </w:numPr>
        <w:spacing w:after="60" w:before="60"/>
      </w:pPr>
      <w:r>
        <w:rPr>
          <w:rFonts w:ascii="Arial" w:cs="Arial" w:eastAsia="Arial" w:hAnsi="Arial"/>
          <w:sz w:val="22"/>
          <w:szCs w:val="22"/>
        </w:rPr>
        <w:t xml:space="preserve">The cyclic encoding is better for model learning but the seasonal categories are more interpretable for the paper narrative.</w:t>
      </w:r>
    </w:p>
    <w:p>
      <w:pPr>
        <w:spacing w:after="80" w:before="80"/>
      </w:pPr>
      <w:r>
        <w:t xml:space="preserve"/>
      </w:r>
    </w:p>
    <w:p>
      <w:pPr>
        <w:pStyle w:val="Heading2"/>
        <w:spacing w:after="160" w:before="280"/>
      </w:pPr>
      <w:r>
        <w:rPr>
          <w:rFonts w:ascii="Arial" w:cs="Arial" w:eastAsia="Arial" w:hAnsi="Arial"/>
          <w:b/>
          <w:bCs/>
        </w:rPr>
        <w:t xml:space="preserve">4.4 Feature Fusion Strategy for Metadata</w:t>
      </w:r>
    </w:p>
    <w:p>
      <w:pPr>
        <w:pStyle w:val="ListParagraph"/>
        <w:numPr>
          <w:ilvl w:val="0"/>
          <w:numId w:val="3"/>
        </w:numPr>
        <w:spacing w:after="60" w:before="60"/>
      </w:pPr>
      <w:r>
        <w:rPr>
          <w:rFonts w:ascii="Arial" w:cs="Arial" w:eastAsia="Arial" w:hAnsi="Arial"/>
          <w:sz w:val="22"/>
          <w:szCs w:val="22"/>
        </w:rPr>
        <w:t xml:space="preserve">Encode location and season as embeddings (learned or fixed), concatenate with the visual feature vector before the final classification head.</w:t>
      </w:r>
    </w:p>
    <w:p>
      <w:pPr>
        <w:pStyle w:val="ListParagraph"/>
        <w:numPr>
          <w:ilvl w:val="0"/>
          <w:numId w:val="3"/>
        </w:numPr>
        <w:spacing w:after="60" w:before="60"/>
      </w:pPr>
      <w:r>
        <w:rPr>
          <w:rFonts w:ascii="Arial" w:cs="Arial" w:eastAsia="Arial" w:hAnsi="Arial"/>
          <w:sz w:val="22"/>
          <w:szCs w:val="22"/>
        </w:rPr>
        <w:t xml:space="preserve">This is a late-fusion approach and is the safest starting point. It keeps visual and contextual streams separate until the final decision layer.</w:t>
      </w:r>
    </w:p>
    <w:p>
      <w:pPr>
        <w:pStyle w:val="ListParagraph"/>
        <w:numPr>
          <w:ilvl w:val="0"/>
          <w:numId w:val="3"/>
        </w:numPr>
        <w:spacing w:after="60" w:before="60"/>
      </w:pPr>
      <w:r>
        <w:rPr>
          <w:rFonts w:ascii="Arial" w:cs="Arial" w:eastAsia="Arial" w:hAnsi="Arial"/>
          <w:sz w:val="22"/>
          <w:szCs w:val="22"/>
        </w:rPr>
        <w:t xml:space="preserve">More ambitious: cross-attention between visual patch tokens and location/season embeddings, allowing the model to dynamically weight wing regions based on where/when the image was taken.</w:t>
      </w:r>
    </w:p>
    <w:p>
      <w:pPr>
        <w:pStyle w:val="ListParagraph"/>
        <w:numPr>
          <w:ilvl w:val="0"/>
          <w:numId w:val="3"/>
        </w:numPr>
        <w:spacing w:after="60" w:before="60"/>
      </w:pPr>
      <w:r>
        <w:rPr>
          <w:rFonts w:ascii="Arial" w:cs="Arial" w:eastAsia="Arial" w:hAnsi="Arial"/>
          <w:sz w:val="22"/>
          <w:szCs w:val="22"/>
        </w:rPr>
        <w:t xml:space="preserve">Ablation requirement: the paper must report accuracy with and without the geotemporal features on both the dense and sparse class subsets separately, to show where the gain comes from.</w:t>
      </w:r>
    </w:p>
    <w:p>
      <w:pPr>
        <w:spacing w:after="80" w:before="80"/>
      </w:pPr>
      <w:r>
        <w:t xml:space="preserve"/>
      </w:r>
    </w:p>
    <w:p>
      <w:pPr>
        <w:pStyle w:val="Heading1"/>
        <w:spacing w:after="200" w:before="360"/>
      </w:pPr>
      <w:r>
        <w:rPr>
          <w:rFonts w:ascii="Arial" w:cs="Arial" w:eastAsia="Arial" w:hAnsi="Arial"/>
          <w:b/>
          <w:bCs/>
        </w:rPr>
        <w:t xml:space="preserve">5. Experimental Design</w:t>
      </w:r>
    </w:p>
    <w:p>
      <w:pPr>
        <w:pStyle w:val="Heading2"/>
        <w:spacing w:after="160" w:before="280"/>
      </w:pPr>
      <w:r>
        <w:rPr>
          <w:rFonts w:ascii="Arial" w:cs="Arial" w:eastAsia="Arial" w:hAnsi="Arial"/>
          <w:b/>
          <w:bCs/>
        </w:rPr>
        <w:t xml:space="preserve">5.1 Benchmark Experiments (Model Validation)</w:t>
      </w:r>
    </w:p>
    <w:p>
      <w:pPr>
        <w:pStyle w:val="ListParagraph"/>
        <w:numPr>
          <w:ilvl w:val="0"/>
          <w:numId w:val="3"/>
        </w:numPr>
        <w:spacing w:after="60" w:before="60"/>
      </w:pPr>
      <w:r>
        <w:rPr>
          <w:rFonts w:ascii="Arial" w:cs="Arial" w:eastAsia="Arial" w:hAnsi="Arial"/>
          <w:sz w:val="22"/>
          <w:szCs w:val="22"/>
        </w:rPr>
        <w:t xml:space="preserve">CUB-200-2011: Standard FGVC benchmark for birds. Well-understood difficulty. Report accuracy and compare to published SOTA (ViT-B/16, ConvNeXt-T, FGBNet, EfficientNet-B5 at minimum).</w:t>
      </w:r>
    </w:p>
    <w:p>
      <w:pPr>
        <w:pStyle w:val="ListParagraph"/>
        <w:numPr>
          <w:ilvl w:val="0"/>
          <w:numId w:val="3"/>
        </w:numPr>
        <w:spacing w:after="60" w:before="60"/>
      </w:pPr>
      <w:r>
        <w:rPr>
          <w:rFonts w:ascii="Arial" w:cs="Arial" w:eastAsia="Arial" w:hAnsi="Arial"/>
          <w:sz w:val="22"/>
          <w:szCs w:val="22"/>
        </w:rPr>
        <w:t xml:space="preserve">Stanford Dogs or Oxford 102 Flowers: Optional secondary benchmarks if reviewer comparison is needed — used directly in FGBNet paper.</w:t>
      </w:r>
    </w:p>
    <w:p>
      <w:pPr>
        <w:pStyle w:val="ListParagraph"/>
        <w:numPr>
          <w:ilvl w:val="0"/>
          <w:numId w:val="3"/>
        </w:numPr>
        <w:spacing w:after="60" w:before="60"/>
      </w:pPr>
      <w:r>
        <w:rPr>
          <w:rFonts w:ascii="Arial" w:cs="Arial" w:eastAsia="Arial" w:hAnsi="Arial"/>
          <w:sz w:val="22"/>
          <w:szCs w:val="22"/>
        </w:rPr>
        <w:t xml:space="preserve">Purpose: Demonstrates the model is generally strong, not overfit to Indian butterflies.</w:t>
      </w:r>
    </w:p>
    <w:p>
      <w:pPr>
        <w:spacing w:after="80" w:before="80"/>
      </w:pPr>
      <w:r>
        <w:t xml:space="preserve"/>
      </w:r>
    </w:p>
    <w:p>
      <w:pPr>
        <w:pStyle w:val="Heading2"/>
        <w:spacing w:after="160" w:before="280"/>
      </w:pPr>
      <w:r>
        <w:rPr>
          <w:rFonts w:ascii="Arial" w:cs="Arial" w:eastAsia="Arial" w:hAnsi="Arial"/>
          <w:b/>
          <w:bCs/>
        </w:rPr>
        <w:t xml:space="preserve">5.2 Indian Butterfly Dataset Experiments</w:t>
      </w:r>
    </w:p>
    <w:p>
      <w:pPr>
        <w:pStyle w:val="ListParagraph"/>
        <w:numPr>
          <w:ilvl w:val="0"/>
          <w:numId w:val="3"/>
        </w:numPr>
        <w:spacing w:after="60" w:before="60"/>
      </w:pPr>
      <w:r>
        <w:rPr>
          <w:rFonts w:ascii="Arial" w:cs="Arial" w:eastAsia="Arial" w:hAnsi="Arial"/>
          <w:sz w:val="22"/>
          <w:szCs w:val="22"/>
        </w:rPr>
        <w:t xml:space="preserve">Report overall top-1 and top-5 accuracy across all 900 classes.</w:t>
      </w:r>
    </w:p>
    <w:p>
      <w:pPr>
        <w:pStyle w:val="ListParagraph"/>
        <w:numPr>
          <w:ilvl w:val="0"/>
          <w:numId w:val="3"/>
        </w:numPr>
        <w:spacing w:after="60" w:before="60"/>
      </w:pPr>
      <w:r>
        <w:rPr>
          <w:rFonts w:ascii="Arial" w:cs="Arial" w:eastAsia="Arial" w:hAnsi="Arial"/>
          <w:sz w:val="22"/>
          <w:szCs w:val="22"/>
        </w:rPr>
        <w:t xml:space="preserve">Report separately: dense classes (&gt;50 images) vs sparse classes (&lt;50 images). This is crucial for credibility.</w:t>
      </w:r>
    </w:p>
    <w:p>
      <w:pPr>
        <w:pStyle w:val="ListParagraph"/>
        <w:numPr>
          <w:ilvl w:val="0"/>
          <w:numId w:val="3"/>
        </w:numPr>
        <w:spacing w:after="60" w:before="60"/>
      </w:pPr>
      <w:r>
        <w:rPr>
          <w:rFonts w:ascii="Arial" w:cs="Arial" w:eastAsia="Arial" w:hAnsi="Arial"/>
          <w:sz w:val="22"/>
          <w:szCs w:val="22"/>
        </w:rPr>
        <w:t xml:space="preserve">Report per-biogeographic-zone accuracy to show geographic bias patterns.</w:t>
      </w:r>
    </w:p>
    <w:p>
      <w:pPr>
        <w:pStyle w:val="ListParagraph"/>
        <w:numPr>
          <w:ilvl w:val="0"/>
          <w:numId w:val="3"/>
        </w:numPr>
        <w:spacing w:after="60" w:before="60"/>
      </w:pPr>
      <w:r>
        <w:rPr>
          <w:rFonts w:ascii="Arial" w:cs="Arial" w:eastAsia="Arial" w:hAnsi="Arial"/>
          <w:sz w:val="22"/>
          <w:szCs w:val="22"/>
        </w:rPr>
        <w:t xml:space="preserve">Ablation study (each component removed one at a time): full model vs. no geotemporal features vs. no multi-level fusion vs. no contrastive pretraining vs. no prototypical head for sparse classes.</w:t>
      </w:r>
    </w:p>
    <w:p>
      <w:pPr>
        <w:spacing w:after="80" w:before="80"/>
      </w:pPr>
      <w:r>
        <w:t xml:space="preserve"/>
      </w:r>
    </w:p>
    <w:p>
      <w:pPr>
        <w:pStyle w:val="Heading2"/>
        <w:spacing w:after="160" w:before="280"/>
      </w:pPr>
      <w:r>
        <w:rPr>
          <w:rFonts w:ascii="Arial" w:cs="Arial" w:eastAsia="Arial" w:hAnsi="Arial"/>
          <w:b/>
          <w:bCs/>
        </w:rPr>
        <w:t xml:space="preserve">5.3 Baselines to Beat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Baseline</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Why Include</w:t>
            </w:r>
          </w:p>
        </w:tc>
        <w:tc>
          <w:tcPr>
            <w:tcW w:type="dxa" w:w="328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tcPr>
          <w:p>
            <w:pPr>
              <w:jc w:val="left"/>
            </w:pPr>
            <w:r>
              <w:rPr>
                <w:rFonts w:ascii="Arial" w:cs="Arial" w:eastAsia="Arial" w:hAnsi="Arial"/>
                <w:b/>
                <w:bCs/>
                <w:color w:val="FFFFFF"/>
                <w:sz w:val="20"/>
                <w:szCs w:val="20"/>
              </w:rPr>
              <w:t xml:space="preserve">Expected Gap</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ResNet-101 (pretrained, ImageNet)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Standard deep learning baseline. Used in Alfatemi et al. (2024) bird paper and thrips SLR.</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Should be clearly beaten due to fine-grained design.</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ViT-B/16 (standard fine-tune)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Strong transformer baseline. Used in thrips paper — best single baseline at 94.7%.</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Close competitor; multi-level fusion + geotemporal should give edge.</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ConvNeXt-Tiny (no additions)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Best backbone in FGBNet ablation. Natural baseline for our enhancements.</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Our model = ConvNeXt + FGBNet-style MLFI + CA + geotemporal + proto head.</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iNaturalist pretrained model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Directly relevant — iNaturalist has large Indian butterfly subset. Tests if domain-specific pretraining helps beyond ImageNet.</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May be surprisingly strong; important to test.</w:t>
            </w:r>
          </w:p>
        </w:tc>
      </w:tr>
      <w:tr>
        <w:tc>
          <w:tcPr>
            <w:tcW w:type="dxa" w:w="280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Vision-only version of our model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Ablation baseline to isolate geotemporal gain.</w:t>
            </w:r>
          </w:p>
        </w:tc>
        <w:tc>
          <w:tcPr>
            <w:tcW w:type="dxa" w:w="3280"/>
            <w:tcBorders>
              <w:top w:val="single" w:color="CCCCCC" w:sz="1"/>
              <w:left w:val="single" w:color="CCCCCC" w:sz="1"/>
              <w:bottom w:val="single" w:color="CCCCCC" w:sz="1"/>
              <w:right w:val="single" w:color="CCCCCC" w:sz="1"/>
            </w:tcBorders>
            <w:shd w:fill="F5F9FF" w:val="clear"/>
            <w:tcMar>
              <w:top w:type="dxa" w:w="100"/>
              <w:left w:type="dxa" w:w="150"/>
              <w:bottom w:type="dxa" w:w="100"/>
              <w:right w:type="dxa" w:w="150"/>
            </w:tcMar>
          </w:tcPr>
          <w:p>
            <w:pPr>
              <w:jc w:val="left"/>
            </w:pPr>
            <w:r>
              <w:rPr>
                <w:rFonts w:ascii="Arial" w:cs="Arial" w:eastAsia="Arial" w:hAnsi="Arial"/>
                <w:b w:val="false"/>
                <w:bCs w:val="false"/>
                <w:color w:val="000000"/>
                <w:sz w:val="20"/>
                <w:szCs w:val="20"/>
              </w:rPr>
              <w:t xml:space="preserve">Should be clearly worse, especially for sparse classes.</w:t>
            </w:r>
          </w:p>
        </w:tc>
      </w:tr>
    </w:tbl>
    <w:p>
      <w:pPr>
        <w:spacing w:after="80" w:before="80"/>
      </w:pPr>
      <w:r>
        <w:t xml:space="preserve"/>
      </w:r>
    </w:p>
    <w:p>
      <w:pPr>
        <w:pStyle w:val="Heading1"/>
        <w:spacing w:after="200" w:before="360"/>
      </w:pPr>
      <w:r>
        <w:rPr>
          <w:rFonts w:ascii="Arial" w:cs="Arial" w:eastAsia="Arial" w:hAnsi="Arial"/>
          <w:b/>
          <w:bCs/>
        </w:rPr>
        <w:t xml:space="preserve">6. Potential Problems and Mitigations</w:t>
      </w:r>
    </w:p>
    <w:p>
      <w:pPr>
        <w:pStyle w:val="Heading2"/>
        <w:spacing w:after="160" w:before="280"/>
      </w:pPr>
      <w:r>
        <w:rPr>
          <w:rFonts w:ascii="Arial" w:cs="Arial" w:eastAsia="Arial" w:hAnsi="Arial"/>
          <w:b/>
          <w:bCs/>
        </w:rPr>
        <w:t xml:space="preserve">6.1 Reviewer Objections to Anticipate</w:t>
      </w:r>
    </w:p>
    <w:p>
      <w:pPr>
        <w:pStyle w:val="ListParagraph"/>
        <w:numPr>
          <w:ilvl w:val="0"/>
          <w:numId w:val="3"/>
        </w:numPr>
        <w:spacing w:after="60" w:before="60"/>
      </w:pPr>
      <w:r>
        <w:rPr>
          <w:rFonts w:ascii="Arial" w:cs="Arial" w:eastAsia="Arial" w:hAnsi="Arial"/>
          <w:sz w:val="22"/>
          <w:szCs w:val="22"/>
        </w:rPr>
        <w:t xml:space="preserve">"The dataset is too small/sparse to draw conclusions."</w:t>
      </w:r>
    </w:p>
    <w:p>
      <w:pPr>
        <w:pStyle w:val="ListParagraph"/>
        <w:numPr>
          <w:ilvl w:val="1"/>
          <w:numId w:val="3"/>
        </w:numPr>
        <w:spacing w:after="40" w:before="40"/>
      </w:pPr>
      <w:r>
        <w:rPr>
          <w:rFonts w:ascii="Arial" w:cs="Arial" w:eastAsia="Arial" w:hAnsi="Arial"/>
          <w:sz w:val="22"/>
          <w:szCs w:val="22"/>
        </w:rPr>
        <w:t xml:space="preserve">Response: Report per-class performance stratified by dataset size. Compare favorably to the thrips paper (425 total images, 2 classes) and the Alfatemi et al. bird paper (~8000 images, 10 classes). 900 classes total is genuinely large for a specialist dataset.</w:t>
      </w:r>
    </w:p>
    <w:p>
      <w:pPr>
        <w:pStyle w:val="ListParagraph"/>
        <w:numPr>
          <w:ilvl w:val="0"/>
          <w:numId w:val="3"/>
        </w:numPr>
        <w:spacing w:after="60" w:before="60"/>
      </w:pPr>
      <w:r>
        <w:rPr>
          <w:rFonts w:ascii="Arial" w:cs="Arial" w:eastAsia="Arial" w:hAnsi="Arial"/>
          <w:sz w:val="22"/>
          <w:szCs w:val="22"/>
        </w:rPr>
        <w:t xml:space="preserve">"Location/season features could be memorized rather than learned meaningfully."</w:t>
      </w:r>
    </w:p>
    <w:p>
      <w:pPr>
        <w:pStyle w:val="ListParagraph"/>
        <w:numPr>
          <w:ilvl w:val="1"/>
          <w:numId w:val="3"/>
        </w:numPr>
        <w:spacing w:after="40" w:before="40"/>
      </w:pPr>
      <w:r>
        <w:rPr>
          <w:rFonts w:ascii="Arial" w:cs="Arial" w:eastAsia="Arial" w:hAnsi="Arial"/>
          <w:sz w:val="22"/>
          <w:szCs w:val="22"/>
        </w:rPr>
        <w:t xml:space="preserve">Response: Include an experiment where geotemporal features are randomly shuffled at test time. If performance drops significantly, it demonstrates the model learned real correlations, not spurious ones.</w:t>
      </w:r>
    </w:p>
    <w:p>
      <w:pPr>
        <w:pStyle w:val="ListParagraph"/>
        <w:numPr>
          <w:ilvl w:val="0"/>
          <w:numId w:val="3"/>
        </w:numPr>
        <w:spacing w:after="60" w:before="60"/>
      </w:pPr>
      <w:r>
        <w:rPr>
          <w:rFonts w:ascii="Arial" w:cs="Arial" w:eastAsia="Arial" w:hAnsi="Arial"/>
          <w:sz w:val="22"/>
          <w:szCs w:val="22"/>
        </w:rPr>
        <w:t xml:space="preserve">"Performance could degrade if location/date is unavailable at inference."</w:t>
      </w:r>
    </w:p>
    <w:p>
      <w:pPr>
        <w:pStyle w:val="ListParagraph"/>
        <w:numPr>
          <w:ilvl w:val="1"/>
          <w:numId w:val="3"/>
        </w:numPr>
        <w:spacing w:after="40" w:before="40"/>
      </w:pPr>
      <w:r>
        <w:rPr>
          <w:rFonts w:ascii="Arial" w:cs="Arial" w:eastAsia="Arial" w:hAnsi="Arial"/>
          <w:sz w:val="22"/>
          <w:szCs w:val="22"/>
        </w:rPr>
        <w:t xml:space="preserve">Response: Report accuracy both with and without geotemporal features available. Vision-only performance should still be competitive. The metadata is an enhancement, not a requirement.</w:t>
      </w:r>
    </w:p>
    <w:p>
      <w:pPr>
        <w:pStyle w:val="ListParagraph"/>
        <w:numPr>
          <w:ilvl w:val="0"/>
          <w:numId w:val="3"/>
        </w:numPr>
        <w:spacing w:after="60" w:before="60"/>
      </w:pPr>
      <w:r>
        <w:rPr>
          <w:rFonts w:ascii="Arial" w:cs="Arial" w:eastAsia="Arial" w:hAnsi="Arial"/>
          <w:sz w:val="22"/>
          <w:szCs w:val="22"/>
        </w:rPr>
        <w:t xml:space="preserve">"Why not use existing large butterfly datasets (iNaturalist, GBIF)?"</w:t>
      </w:r>
    </w:p>
    <w:p>
      <w:pPr>
        <w:pStyle w:val="ListParagraph"/>
        <w:numPr>
          <w:ilvl w:val="1"/>
          <w:numId w:val="3"/>
        </w:numPr>
        <w:spacing w:after="40" w:before="40"/>
      </w:pPr>
      <w:r>
        <w:rPr>
          <w:rFonts w:ascii="Arial" w:cs="Arial" w:eastAsia="Arial" w:hAnsi="Arial"/>
          <w:sz w:val="22"/>
          <w:szCs w:val="22"/>
        </w:rPr>
        <w:t xml:space="preserve">Response: Existing datasets are global and dilute India-specific subspecies representation. Many Indian endemic species are absent or severely under-represented. Show class-level coverage comparison explicitly.</w:t>
      </w:r>
    </w:p>
    <w:p>
      <w:pPr>
        <w:spacing w:after="80" w:before="80"/>
      </w:pPr>
      <w:r>
        <w:t xml:space="preserve"/>
      </w:r>
    </w:p>
    <w:p>
      <w:pPr>
        <w:pStyle w:val="Heading2"/>
        <w:spacing w:after="160" w:before="280"/>
      </w:pPr>
      <w:r>
        <w:rPr>
          <w:rFonts w:ascii="Arial" w:cs="Arial" w:eastAsia="Arial" w:hAnsi="Arial"/>
          <w:b/>
          <w:bCs/>
        </w:rPr>
        <w:t xml:space="preserve">6.2 Technical Risks</w:t>
      </w:r>
    </w:p>
    <w:p>
      <w:pPr>
        <w:pStyle w:val="ListParagraph"/>
        <w:numPr>
          <w:ilvl w:val="0"/>
          <w:numId w:val="3"/>
        </w:numPr>
        <w:spacing w:after="60" w:before="60"/>
      </w:pPr>
      <w:r>
        <w:rPr>
          <w:rFonts w:ascii="Arial" w:cs="Arial" w:eastAsia="Arial" w:hAnsi="Arial"/>
          <w:sz w:val="22"/>
          <w:szCs w:val="22"/>
        </w:rPr>
        <w:t xml:space="preserve">Overfitting on sparse classes: Monitor train/val curves per class-density bucket, not just overall. Use early stopping separately tuned for dense and sparse subsets if needed.</w:t>
      </w:r>
    </w:p>
    <w:p>
      <w:pPr>
        <w:pStyle w:val="ListParagraph"/>
        <w:numPr>
          <w:ilvl w:val="0"/>
          <w:numId w:val="3"/>
        </w:numPr>
        <w:spacing w:after="60" w:before="60"/>
      </w:pPr>
      <w:r>
        <w:rPr>
          <w:rFonts w:ascii="Arial" w:cs="Arial" w:eastAsia="Arial" w:hAnsi="Arial"/>
          <w:sz w:val="22"/>
          <w:szCs w:val="22"/>
        </w:rPr>
        <w:t xml:space="preserve">Location data quality: GPS coordinates from phone cameras or iNaturalist submissions can have errors of several kilometers. Validate that biogeographic zone assignment is robust to small GPS errors.</w:t>
      </w:r>
    </w:p>
    <w:p>
      <w:pPr>
        <w:pStyle w:val="ListParagraph"/>
        <w:numPr>
          <w:ilvl w:val="0"/>
          <w:numId w:val="3"/>
        </w:numPr>
        <w:spacing w:after="60" w:before="60"/>
      </w:pPr>
      <w:r>
        <w:rPr>
          <w:rFonts w:ascii="Arial" w:cs="Arial" w:eastAsia="Arial" w:hAnsi="Arial"/>
          <w:sz w:val="22"/>
          <w:szCs w:val="22"/>
        </w:rPr>
        <w:t xml:space="preserve">Seasonal label noise: Some images may have incorrect dates. Flag images where predicted season is inconsistent with known species flight periods as potential data quality issues.</w:t>
      </w:r>
    </w:p>
    <w:p>
      <w:pPr>
        <w:pStyle w:val="ListParagraph"/>
        <w:numPr>
          <w:ilvl w:val="0"/>
          <w:numId w:val="3"/>
        </w:numPr>
        <w:spacing w:after="60" w:before="60"/>
      </w:pPr>
      <w:r>
        <w:rPr>
          <w:rFonts w:ascii="Arial" w:cs="Arial" w:eastAsia="Arial" w:hAnsi="Arial"/>
          <w:sz w:val="22"/>
          <w:szCs w:val="22"/>
        </w:rPr>
        <w:t xml:space="preserve">Compute: DINO pretraining on large image sets is expensive. Plan for this in the experimental timeline. Consider using a pretrained DINO checkpoint from iNaturalist if available.</w:t>
      </w:r>
    </w:p>
    <w:p>
      <w:pPr>
        <w:spacing w:after="80" w:before="80"/>
      </w:pPr>
      <w:r>
        <w:t xml:space="preserve"/>
      </w:r>
    </w:p>
    <w:p>
      <w:pPr>
        <w:pStyle w:val="Heading1"/>
        <w:spacing w:after="200" w:before="360"/>
      </w:pPr>
      <w:r>
        <w:rPr>
          <w:rFonts w:ascii="Arial" w:cs="Arial" w:eastAsia="Arial" w:hAnsi="Arial"/>
          <w:b/>
          <w:bCs/>
        </w:rPr>
        <w:t xml:space="preserve">7. Key References</w:t>
      </w:r>
    </w:p>
    <w:p>
      <w:pPr>
        <w:pStyle w:val="Heading2"/>
        <w:spacing w:after="160" w:before="280"/>
      </w:pPr>
      <w:r>
        <w:rPr>
          <w:rFonts w:ascii="Arial" w:cs="Arial" w:eastAsia="Arial" w:hAnsi="Arial"/>
          <w:b/>
          <w:bCs/>
        </w:rPr>
        <w:t xml:space="preserve">7.1 Directly Cited Papers (Attached)</w:t>
      </w:r>
    </w:p>
    <w:p>
      <w:pPr>
        <w:pStyle w:val="ListParagraph"/>
        <w:numPr>
          <w:ilvl w:val="0"/>
          <w:numId w:val="3"/>
        </w:numPr>
        <w:spacing w:after="60" w:before="60"/>
      </w:pPr>
      <w:r>
        <w:rPr>
          <w:rFonts w:ascii="Arial" w:cs="Arial" w:eastAsia="Arial" w:hAnsi="Arial"/>
          <w:sz w:val="22"/>
          <w:szCs w:val="22"/>
        </w:rPr>
        <w:t xml:space="preserve">[1] Amarathunga, D.C. et al. (2022). "Fine-grained image classification of microscopic insect pest species: Western Flower Thrips and Plague Thrips." Computers and Electronics in Agriculture. — Core reference for: domain-knowledge-driven body-segment augmentation, ViT-based fine-grained classification, dataset design and quality validation with expert verification, handling morphologically similar species.</w:t>
      </w:r>
    </w:p>
    <w:p>
      <w:pPr>
        <w:pStyle w:val="ListParagraph"/>
        <w:numPr>
          <w:ilvl w:val="0"/>
          <w:numId w:val="3"/>
        </w:numPr>
        <w:spacing w:after="60" w:before="60"/>
      </w:pPr>
      <w:r>
        <w:rPr>
          <w:rFonts w:ascii="Arial" w:cs="Arial" w:eastAsia="Arial" w:hAnsi="Arial"/>
          <w:sz w:val="22"/>
          <w:szCs w:val="22"/>
        </w:rPr>
        <w:t xml:space="preserve">[2] Yuan, Y. et al. (2025). "FGBNet: A Bio-Subspecies Classification Network with Multi-Level Feature Interaction." Diversity. — Core reference for: multi-level feature interaction (MLFI) module, Coordinate Attention mechanism, CONCAT vs. ADD vs. MULTI fusion comparison, backbone selection (ConvNeXt-Tiny recommended), subspecies classification framing.</w:t>
      </w:r>
    </w:p>
    <w:p>
      <w:pPr>
        <w:pStyle w:val="ListParagraph"/>
        <w:numPr>
          <w:ilvl w:val="0"/>
          <w:numId w:val="3"/>
        </w:numPr>
        <w:spacing w:after="60" w:before="60"/>
      </w:pPr>
      <w:r>
        <w:rPr>
          <w:rFonts w:ascii="Arial" w:cs="Arial" w:eastAsia="Arial" w:hAnsi="Arial"/>
          <w:sz w:val="22"/>
          <w:szCs w:val="22"/>
        </w:rPr>
        <w:t xml:space="preserve">[3] Alfatemi, A. et al. (2024). "Multi-Label Classification with Deep Learning and Manual Data Collection for Identifying Similar Bird Species." Procedia Computer Science. — Reference for: manual data curation strategy for visually similar species, CNN architecture for fine-grained classification, training/validation/test split methodology.</w:t>
      </w:r>
    </w:p>
    <w:p>
      <w:pPr>
        <w:pStyle w:val="ListParagraph"/>
        <w:numPr>
          <w:ilvl w:val="0"/>
          <w:numId w:val="3"/>
        </w:numPr>
        <w:spacing w:after="60" w:before="60"/>
      </w:pPr>
      <w:r>
        <w:rPr>
          <w:rFonts w:ascii="Arial" w:cs="Arial" w:eastAsia="Arial" w:hAnsi="Arial"/>
          <w:sz w:val="22"/>
          <w:szCs w:val="22"/>
        </w:rPr>
        <w:t xml:space="preserve">[4] Amarathunga, D.C.K. et al. (2021). "Methods of Insect Image Capture and Classification: A Systematic Literature Review." Smart Agricultural Technology. — Core reference for: state of the art survey, identifying gaps (no morphologically similar microscopic species datasets, no Africa/India coverage, class imbalance as open problem, temporal distribution as open problem).</w:t>
      </w:r>
    </w:p>
    <w:p>
      <w:pPr>
        <w:spacing w:after="80" w:before="80"/>
      </w:pPr>
      <w:r>
        <w:t xml:space="preserve"/>
      </w:r>
    </w:p>
    <w:p>
      <w:pPr>
        <w:pStyle w:val="Heading2"/>
        <w:spacing w:after="160" w:before="280"/>
      </w:pPr>
      <w:r>
        <w:rPr>
          <w:rFonts w:ascii="Arial" w:cs="Arial" w:eastAsia="Arial" w:hAnsi="Arial"/>
          <w:b/>
          <w:bCs/>
        </w:rPr>
        <w:t xml:space="preserve">7.2 Additional References to Acquire</w:t>
      </w:r>
    </w:p>
    <w:p>
      <w:pPr>
        <w:pStyle w:val="ListParagraph"/>
        <w:numPr>
          <w:ilvl w:val="0"/>
          <w:numId w:val="3"/>
        </w:numPr>
        <w:spacing w:after="60" w:before="60"/>
      </w:pPr>
      <w:r>
        <w:rPr>
          <w:rFonts w:ascii="Arial" w:cs="Arial" w:eastAsia="Arial" w:hAnsi="Arial"/>
          <w:sz w:val="22"/>
          <w:szCs w:val="22"/>
        </w:rPr>
        <w:t xml:space="preserve">Dosovitskiy, A. et al. (2020). "An image is worth 16x16 words: Transformers for image recognition at scale." arXiv:2010.11929. — ViT architecture used in thrips paper.</w:t>
      </w:r>
    </w:p>
    <w:p>
      <w:pPr>
        <w:pStyle w:val="ListParagraph"/>
        <w:numPr>
          <w:ilvl w:val="0"/>
          <w:numId w:val="3"/>
        </w:numPr>
        <w:spacing w:after="60" w:before="60"/>
      </w:pPr>
      <w:r>
        <w:rPr>
          <w:rFonts w:ascii="Arial" w:cs="Arial" w:eastAsia="Arial" w:hAnsi="Arial"/>
          <w:sz w:val="22"/>
          <w:szCs w:val="22"/>
        </w:rPr>
        <w:t xml:space="preserve">Caron, M. et al. (2021). "Emerging properties in self-supervised vision transformers." ICCV. — DINO self-supervised pretraining; produces attention maps that naturally focus on foreground objects.</w:t>
      </w:r>
    </w:p>
    <w:p>
      <w:pPr>
        <w:pStyle w:val="ListParagraph"/>
        <w:numPr>
          <w:ilvl w:val="0"/>
          <w:numId w:val="3"/>
        </w:numPr>
        <w:spacing w:after="60" w:before="60"/>
      </w:pPr>
      <w:r>
        <w:rPr>
          <w:rFonts w:ascii="Arial" w:cs="Arial" w:eastAsia="Arial" w:hAnsi="Arial"/>
          <w:sz w:val="22"/>
          <w:szCs w:val="22"/>
        </w:rPr>
        <w:t xml:space="preserve">He, K. et al. (2022). "Masked autoencoders are scalable vision learners." CVPR. — MAE pretraining, alternative to DINO for sparse data.</w:t>
      </w:r>
    </w:p>
    <w:p>
      <w:pPr>
        <w:pStyle w:val="ListParagraph"/>
        <w:numPr>
          <w:ilvl w:val="0"/>
          <w:numId w:val="3"/>
        </w:numPr>
        <w:spacing w:after="60" w:before="60"/>
      </w:pPr>
      <w:r>
        <w:rPr>
          <w:rFonts w:ascii="Arial" w:cs="Arial" w:eastAsia="Arial" w:hAnsi="Arial"/>
          <w:sz w:val="22"/>
          <w:szCs w:val="22"/>
        </w:rPr>
        <w:t xml:space="preserve">Snell, J. et al. (2017). "Prototypical networks for few-shot learning." NeurIPS. — Prototypical head for sparse classes. Referenced in SLR as promising for rare species.</w:t>
      </w:r>
    </w:p>
    <w:p>
      <w:pPr>
        <w:pStyle w:val="ListParagraph"/>
        <w:numPr>
          <w:ilvl w:val="0"/>
          <w:numId w:val="3"/>
        </w:numPr>
        <w:spacing w:after="60" w:before="60"/>
      </w:pPr>
      <w:r>
        <w:rPr>
          <w:rFonts w:ascii="Arial" w:cs="Arial" w:eastAsia="Arial" w:hAnsi="Arial"/>
          <w:sz w:val="22"/>
          <w:szCs w:val="22"/>
        </w:rPr>
        <w:t xml:space="preserve">Lin, T.Y. et al. (2017). "Focal loss for dense object detection." ICCV. — Focal loss for class imbalance.</w:t>
      </w:r>
    </w:p>
    <w:p>
      <w:pPr>
        <w:pStyle w:val="ListParagraph"/>
        <w:numPr>
          <w:ilvl w:val="0"/>
          <w:numId w:val="3"/>
        </w:numPr>
        <w:spacing w:after="60" w:before="60"/>
      </w:pPr>
      <w:r>
        <w:rPr>
          <w:rFonts w:ascii="Arial" w:cs="Arial" w:eastAsia="Arial" w:hAnsi="Arial"/>
          <w:sz w:val="22"/>
          <w:szCs w:val="22"/>
        </w:rPr>
        <w:t xml:space="preserve">Hou, Q. et al. (2021). "Coordinate attention for efficient mobile network design." CVPR. — CA mechanism used in FGBNet.</w:t>
      </w:r>
    </w:p>
    <w:p>
      <w:pPr>
        <w:pStyle w:val="ListParagraph"/>
        <w:numPr>
          <w:ilvl w:val="0"/>
          <w:numId w:val="3"/>
        </w:numPr>
        <w:spacing w:after="60" w:before="60"/>
      </w:pPr>
      <w:r>
        <w:rPr>
          <w:rFonts w:ascii="Arial" w:cs="Arial" w:eastAsia="Arial" w:hAnsi="Arial"/>
          <w:sz w:val="22"/>
          <w:szCs w:val="22"/>
        </w:rPr>
        <w:t xml:space="preserve">Liu, Z. et al. (2022). "A ConvNet for the 2020s." CVPR. — ConvNeXt backbone selected in FGBNet as best performer.</w:t>
      </w:r>
    </w:p>
    <w:p>
      <w:pPr>
        <w:pStyle w:val="ListParagraph"/>
        <w:numPr>
          <w:ilvl w:val="0"/>
          <w:numId w:val="3"/>
        </w:numPr>
        <w:spacing w:after="60" w:before="60"/>
      </w:pPr>
      <w:r>
        <w:rPr>
          <w:rFonts w:ascii="Arial" w:cs="Arial" w:eastAsia="Arial" w:hAnsi="Arial"/>
          <w:sz w:val="22"/>
          <w:szCs w:val="22"/>
        </w:rPr>
        <w:t xml:space="preserve">Wah, C. et al. (2011). "The Caltech-UCSD Birds-200-2011 Dataset." Technical Report. — CUB-200-2011 benchmark dataset.</w:t>
      </w:r>
    </w:p>
    <w:p>
      <w:pPr>
        <w:pStyle w:val="ListParagraph"/>
        <w:numPr>
          <w:ilvl w:val="0"/>
          <w:numId w:val="3"/>
        </w:numPr>
        <w:spacing w:after="60" w:before="60"/>
      </w:pPr>
      <w:r>
        <w:rPr>
          <w:rFonts w:ascii="Arial" w:cs="Arial" w:eastAsia="Arial" w:hAnsi="Arial"/>
          <w:sz w:val="22"/>
          <w:szCs w:val="22"/>
        </w:rPr>
        <w:t xml:space="preserve">Van Horn, G. et al. (2018). "The iNaturalist Species Classification and Detection Dataset." CVPR. — iNaturalist dataset; Indian subset as source of additional pretraining images.</w:t>
      </w:r>
    </w:p>
    <w:p>
      <w:pPr>
        <w:pStyle w:val="ListParagraph"/>
        <w:numPr>
          <w:ilvl w:val="0"/>
          <w:numId w:val="3"/>
        </w:numPr>
        <w:spacing w:after="60" w:before="60"/>
      </w:pPr>
      <w:r>
        <w:rPr>
          <w:rFonts w:ascii="Arial" w:cs="Arial" w:eastAsia="Arial" w:hAnsi="Arial"/>
          <w:sz w:val="22"/>
          <w:szCs w:val="22"/>
        </w:rPr>
        <w:t xml:space="preserve">Kehimkar, I. (2008). "The Book of Indian Butterflies." BNHS. — Field guide for ecological validity cross-referencing of dataset.</w:t>
      </w:r>
    </w:p>
    <w:p>
      <w:pPr>
        <w:spacing w:after="80" w:before="80"/>
      </w:pPr>
      <w:r>
        <w:t xml:space="preserve"/>
      </w:r>
    </w:p>
    <w:p>
      <w:pPr>
        <w:pStyle w:val="Heading1"/>
        <w:spacing w:after="200" w:before="360"/>
      </w:pPr>
      <w:r>
        <w:rPr>
          <w:rFonts w:ascii="Arial" w:cs="Arial" w:eastAsia="Arial" w:hAnsi="Arial"/>
          <w:b/>
          <w:bCs/>
        </w:rPr>
        <w:t xml:space="preserve">8. Suggested Paper Structure</w:t>
      </w:r>
    </w:p>
    <w:p>
      <w:pPr>
        <w:pStyle w:val="ListParagraph"/>
        <w:numPr>
          <w:ilvl w:val="0"/>
          <w:numId w:val="2"/>
        </w:numPr>
        <w:spacing w:after="60" w:before="60"/>
      </w:pPr>
      <w:r>
        <w:rPr>
          <w:rFonts w:ascii="Arial" w:cs="Arial" w:eastAsia="Arial" w:hAnsi="Arial"/>
          <w:sz w:val="22"/>
          <w:szCs w:val="22"/>
        </w:rPr>
        <w:t xml:space="preserve">Introduction: Biodiversity crisis framing, India as a butterfly biodiversity hotspot, gap in existing datasets and models, paper contributions.</w:t>
      </w:r>
    </w:p>
    <w:p>
      <w:pPr>
        <w:pStyle w:val="ListParagraph"/>
        <w:numPr>
          <w:ilvl w:val="0"/>
          <w:numId w:val="2"/>
        </w:numPr>
        <w:spacing w:after="60" w:before="60"/>
      </w:pPr>
      <w:r>
        <w:rPr>
          <w:rFonts w:ascii="Arial" w:cs="Arial" w:eastAsia="Arial" w:hAnsi="Arial"/>
          <w:sz w:val="22"/>
          <w:szCs w:val="22"/>
        </w:rPr>
        <w:t xml:space="preserve">Related Work: Fine-grained image classification, insect/butterfly classification systems (cite SLR), geotemporal feature use in ecology.</w:t>
      </w:r>
    </w:p>
    <w:p>
      <w:pPr>
        <w:pStyle w:val="ListParagraph"/>
        <w:numPr>
          <w:ilvl w:val="0"/>
          <w:numId w:val="2"/>
        </w:numPr>
        <w:spacing w:after="60" w:before="60"/>
      </w:pPr>
      <w:r>
        <w:rPr>
          <w:rFonts w:ascii="Arial" w:cs="Arial" w:eastAsia="Arial" w:hAnsi="Arial"/>
          <w:sz w:val="22"/>
          <w:szCs w:val="22"/>
        </w:rPr>
        <w:t xml:space="preserve">Dataset: Collection protocol, species coverage, metadata, quality validation (inter-rater agreement, distribution analysis, ecological cross-referencing).</w:t>
      </w:r>
    </w:p>
    <w:p>
      <w:pPr>
        <w:pStyle w:val="ListParagraph"/>
        <w:numPr>
          <w:ilvl w:val="0"/>
          <w:numId w:val="2"/>
        </w:numPr>
        <w:spacing w:after="60" w:before="60"/>
      </w:pPr>
      <w:r>
        <w:rPr>
          <w:rFonts w:ascii="Arial" w:cs="Arial" w:eastAsia="Arial" w:hAnsi="Arial"/>
          <w:sz w:val="22"/>
          <w:szCs w:val="22"/>
        </w:rPr>
        <w:t xml:space="preserve">Methodology: Model architecture (see Architecture Document), geotemporal encoding, loss function, training protocol.</w:t>
      </w:r>
    </w:p>
    <w:p>
      <w:pPr>
        <w:pStyle w:val="ListParagraph"/>
        <w:numPr>
          <w:ilvl w:val="0"/>
          <w:numId w:val="2"/>
        </w:numPr>
        <w:spacing w:after="60" w:before="60"/>
      </w:pPr>
      <w:r>
        <w:rPr>
          <w:rFonts w:ascii="Arial" w:cs="Arial" w:eastAsia="Arial" w:hAnsi="Arial"/>
          <w:sz w:val="22"/>
          <w:szCs w:val="22"/>
        </w:rPr>
        <w:t xml:space="preserve">Experiments: Benchmark results (CUB-200-2011), Indian dataset results (overall + dense/sparse split + per-region), ablation study.</w:t>
      </w:r>
    </w:p>
    <w:p>
      <w:pPr>
        <w:pStyle w:val="ListParagraph"/>
        <w:numPr>
          <w:ilvl w:val="0"/>
          <w:numId w:val="2"/>
        </w:numPr>
        <w:spacing w:after="60" w:before="60"/>
      </w:pPr>
      <w:r>
        <w:rPr>
          <w:rFonts w:ascii="Arial" w:cs="Arial" w:eastAsia="Arial" w:hAnsi="Arial"/>
          <w:sz w:val="22"/>
          <w:szCs w:val="22"/>
        </w:rPr>
        <w:t xml:space="preserve">Analysis: Error analysis (confusions correlated with taxonomy), Grad-CAM visualizations of attended wing regions, geotemporal feature importance.</w:t>
      </w:r>
    </w:p>
    <w:p>
      <w:pPr>
        <w:pStyle w:val="ListParagraph"/>
        <w:numPr>
          <w:ilvl w:val="0"/>
          <w:numId w:val="2"/>
        </w:numPr>
        <w:spacing w:after="60" w:before="60"/>
      </w:pPr>
      <w:r>
        <w:rPr>
          <w:rFonts w:ascii="Arial" w:cs="Arial" w:eastAsia="Arial" w:hAnsi="Arial"/>
          <w:sz w:val="22"/>
          <w:szCs w:val="22"/>
        </w:rPr>
        <w:t xml:space="preserve">Conclusion and Future Work.</w:t>
      </w:r>
    </w:p>
    <w:p>
      <w:pPr>
        <w:spacing w:after="80" w:before="80"/>
      </w:pPr>
      <w:r>
        <w:t xml:space="preserve"/>
      </w:r>
    </w:p>
    <w:p>
      <w:pPr>
        <w:spacing w:after="0" w:before="400"/>
        <w:jc w:val="center"/>
      </w:pPr>
      <w:r>
        <w:rPr>
          <w:rFonts w:ascii="Arial" w:cs="Arial" w:eastAsia="Arial" w:hAnsi="Arial"/>
          <w:i/>
          <w:iCs/>
          <w:color w:val="888888"/>
          <w:sz w:val="20"/>
          <w:szCs w:val="20"/>
        </w:rPr>
        <w:t xml:space="preserve">End of Paper Design Document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2026-04-13T20:44:53.503Z</dcterms:created>
  <dcterms:modified xsi:type="dcterms:W3CDTF">2026-04-13T20:44:53.503Z</dcterms:modified>
</cp:coreProperties>
</file>

<file path=docProps/custom.xml><?xml version="1.0" encoding="utf-8"?>
<Properties xmlns="http://schemas.openxmlformats.org/officeDocument/2006/custom-properties" xmlns:vt="http://schemas.openxmlformats.org/officeDocument/2006/docPropsVTypes"/>
</file>