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064ED8"/>
          <w:sz w:val="18"/>
        </w:rPr>
        <w:t>PRODUCT REQUIREMENTS DOCUMENT</w:t>
      </w:r>
    </w:p>
    <w:p>
      <w:pPr>
        <w:spacing w:before="0" w:after="80"/>
      </w:pPr>
      <w:r>
        <w:rPr>
          <w:rFonts w:ascii="Calibri" w:hAnsi="Calibri"/>
          <w:b/>
          <w:i w:val="0"/>
          <w:color w:val="141B2B"/>
          <w:sz w:val="50"/>
        </w:rPr>
        <w:t>eGovPH Embedded Web Experience</w:t>
      </w:r>
    </w:p>
    <w:p>
      <w:pPr>
        <w:spacing w:after="280"/>
      </w:pPr>
      <w:r>
        <w:rPr>
          <w:rFonts w:ascii="Calibri" w:hAnsi="Calibri"/>
          <w:b w:val="0"/>
          <w:i w:val="0"/>
          <w:color w:val="637087"/>
          <w:sz w:val="25"/>
        </w:rPr>
        <w:t>A mobile-first civic services shell modeled on the primary design of the Philippine eGov application</w:t>
      </w:r>
    </w:p>
    <w:p>
      <w:pPr>
        <w:spacing w:after="40"/>
      </w:pPr>
      <w:r>
        <w:rPr>
          <w:rFonts w:ascii="Calibri" w:hAnsi="Calibri"/>
          <w:b/>
          <w:i w:val="0"/>
          <w:color w:val="141B2B"/>
          <w:sz w:val="19"/>
        </w:rPr>
        <w:t xml:space="preserve">Document status: </w:t>
      </w:r>
      <w:r>
        <w:rPr>
          <w:rFonts w:ascii="Calibri" w:hAnsi="Calibri"/>
          <w:b w:val="0"/>
          <w:i w:val="0"/>
          <w:color w:val="637087"/>
          <w:sz w:val="19"/>
        </w:rPr>
        <w:t>Draft v1.0</w:t>
      </w:r>
    </w:p>
    <w:p>
      <w:pPr>
        <w:spacing w:after="40"/>
      </w:pPr>
      <w:r>
        <w:rPr>
          <w:rFonts w:ascii="Calibri" w:hAnsi="Calibri"/>
          <w:b/>
          <w:i w:val="0"/>
          <w:color w:val="141B2B"/>
          <w:sz w:val="19"/>
        </w:rPr>
        <w:t xml:space="preserve">Prepared for: </w:t>
      </w:r>
      <w:r>
        <w:rPr>
          <w:rFonts w:ascii="Calibri" w:hAnsi="Calibri"/>
          <w:b w:val="0"/>
          <w:i w:val="0"/>
          <w:color w:val="637087"/>
          <w:sz w:val="19"/>
        </w:rPr>
        <w:t>eGov Hackathon Product Team</w:t>
      </w:r>
    </w:p>
    <w:p>
      <w:pPr>
        <w:spacing w:after="40"/>
      </w:pPr>
      <w:r>
        <w:rPr>
          <w:rFonts w:ascii="Calibri" w:hAnsi="Calibri"/>
          <w:b/>
          <w:i w:val="0"/>
          <w:color w:val="141B2B"/>
          <w:sz w:val="19"/>
        </w:rPr>
        <w:t xml:space="preserve">Platform: </w:t>
      </w:r>
      <w:r>
        <w:rPr>
          <w:rFonts w:ascii="Calibri" w:hAnsi="Calibri"/>
          <w:b w:val="0"/>
          <w:i w:val="0"/>
          <w:color w:val="637087"/>
          <w:sz w:val="19"/>
        </w:rPr>
        <w:t>Responsive React webapp embedded in an eGov webview</w:t>
      </w:r>
    </w:p>
    <w:p>
      <w:pPr>
        <w:spacing w:after="40"/>
      </w:pPr>
      <w:r>
        <w:rPr>
          <w:rFonts w:ascii="Calibri" w:hAnsi="Calibri"/>
          <w:b/>
          <w:i w:val="0"/>
          <w:color w:val="141B2B"/>
          <w:sz w:val="19"/>
        </w:rPr>
        <w:t xml:space="preserve">Deployment: </w:t>
      </w:r>
      <w:r>
        <w:rPr>
          <w:rFonts w:ascii="Calibri" w:hAnsi="Calibri"/>
          <w:b w:val="0"/>
          <w:i w:val="0"/>
          <w:color w:val="637087"/>
          <w:sz w:val="19"/>
        </w:rPr>
        <w:t>Vercel-compatible static web deployment</w:t>
      </w:r>
    </w:p>
    <w:p>
      <w:pPr>
        <w:spacing w:after="40"/>
      </w:pPr>
      <w:r>
        <w:rPr>
          <w:rFonts w:ascii="Calibri" w:hAnsi="Calibri"/>
          <w:b/>
          <w:i w:val="0"/>
          <w:color w:val="141B2B"/>
          <w:sz w:val="19"/>
        </w:rPr>
        <w:t xml:space="preserve">Date: </w:t>
      </w:r>
      <w:r>
        <w:rPr>
          <w:rFonts w:ascii="Calibri" w:hAnsi="Calibri"/>
          <w:b w:val="0"/>
          <w:i w:val="0"/>
          <w:color w:val="637087"/>
          <w:sz w:val="19"/>
        </w:rPr>
        <w:t>22 July 2026</w:t>
      </w:r>
    </w:p>
    <w:p>
      <w:pPr>
        <w:spacing w:before="160" w:after="240"/>
        <w:pBdr>
          <w:bottom w:val="single" w:sz="18" w:space="1" w:color="064ED8"/>
        </w:pBdr>
      </w:pPr>
    </w:p>
    <w:p>
      <w:pPr>
        <w:spacing w:before="80" w:after="80"/>
        <w:ind w:left="115" w:right="115"/>
        <w:shd w:fill="EAF2FF"/>
        <w:pBdr>
          <w:left w:val="single" w:sz="18" w:space="6" w:color="064ED8"/>
        </w:pBdr>
      </w:pPr>
      <w:r>
        <w:rPr>
          <w:rFonts w:ascii="Calibri" w:hAnsi="Calibri"/>
          <w:b/>
          <w:i w:val="0"/>
          <w:color w:val="064ED8"/>
          <w:sz w:val="20"/>
        </w:rPr>
        <w:t xml:space="preserve">Product decision: </w:t>
      </w:r>
      <w:r>
        <w:rPr>
          <w:rFonts w:ascii="Calibri" w:hAnsi="Calibri"/>
          <w:b w:val="0"/>
          <w:i w:val="0"/>
          <w:color w:val="141B2B"/>
          <w:sz w:val="20"/>
        </w:rPr>
        <w:t>Recreate the recognizable eGovPH home experience as a deployable web surface, then place the hackathon product entry point inside that shell without breaking the host application's visual language or navigation model.</w:t>
      </w:r>
    </w:p>
    <w:p>
      <w:pPr>
        <w:spacing w:before="100" w:after="60"/>
        <w:jc w:val="center"/>
      </w:pPr>
      <w:r>
        <w:rPr>
          <w:rFonts w:ascii="Calibri" w:hAnsi="Calibri"/>
          <w:b w:val="0"/>
          <w:i w:val="0"/>
          <w:color w:val="141B2B"/>
          <w:sz w:val="22"/>
        </w:rPr>
        <w:drawing>
          <wp:inline xmlns:a="http://schemas.openxmlformats.org/drawingml/2006/main" xmlns:pic="http://schemas.openxmlformats.org/drawingml/2006/picture">
            <wp:extent cx="1572768" cy="3403631"/>
            <wp:docPr id="1" name="Picture 1" descr="Mobile eGovPH home screen showing search, service categories, campaign banner, weather and featured service cards, and five-item bottom navigation." title="Reference eGovPH embedded web experi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ovph-webapp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4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37087"/>
          <w:sz w:val="17"/>
        </w:rPr>
        <w:t>Figure 1. Reference implementation of the embedded eGovPH home surface.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1. Executive summary</w:t>
      </w:r>
    </w:p>
    <w:p>
      <w:r>
        <w:rPr>
          <w:rFonts w:ascii="Calibri" w:hAnsi="Calibri"/>
          <w:b w:val="0"/>
          <w:i w:val="0"/>
          <w:color w:val="141B2B"/>
          <w:sz w:val="22"/>
        </w:rPr>
        <w:t>The product is a mobile-first webapp that reproduces the main structure and visual character of the eGovPH home screen. It is intended to load inside an app webview or stand alone at a Vercel URL while maintaining the appearance of an embedded government service. The experience prioritizes fast service discovery, trusted identity cues, concise civic information, and consistent bottom navigation.</w:t>
      </w:r>
    </w:p>
    <w:p>
      <w:r>
        <w:rPr>
          <w:rFonts w:ascii="Calibri" w:hAnsi="Calibri"/>
          <w:b w:val="0"/>
          <w:i w:val="0"/>
          <w:color w:val="141B2B"/>
          <w:sz w:val="22"/>
        </w:rPr>
        <w:t>The hackathon product should enter through a featured card, service tile, or search result, then open within the same web surface. This PRD defines the host-shell design and interaction contract; the product-specific workflow can be specified separately once its service name, data sources, and transaction steps are confirmed.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2. Product goals and scope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2.1 Goals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Match the supplied eGovPH visual hierarchy closely enough that the embedded product feels native to the host application.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Provide a deployable React webapp that works in mobile webviews and on standard browsers through Vercel.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Make government services discoverable through search, category shortcuts, featured content, and persistent navigation.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Communicate trust through official-style color, identity, security, location, and transaction cues.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Keep interactions usable with one hand, keyboard navigation, screen readers, and reduced-motion settings.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2.2 Non-goals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Implementing production integrations with Philippine government identity, payment, travel, health, employment, or reporting systems.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Collecting or storing real PhilSys numbers, personal documents, credentials, or other sensitive citizen data in the prototype.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Recreating screens or flows that are not represented by the supplied reference or separately approved requirements.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Presenting the hackathon prototype as an official government service outside the authorized event context.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3. Target users and use contexts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FE6F1"/>
          <w:left w:val="single" w:sz="6" w:space="0" w:color="DFE6F1"/>
          <w:bottom w:val="single" w:sz="6" w:space="0" w:color="DFE6F1"/>
          <w:right w:val="single" w:sz="6" w:space="0" w:color="DFE6F1"/>
          <w:insideH w:val="single" w:sz="6" w:space="0" w:color="DFE6F1"/>
          <w:insideV w:val="single" w:sz="6" w:space="0" w:color="DFE6F1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Audience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need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Design implication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Citizen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Find and open a government service quickly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Search and categories must be visible above the fold.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Returning user</w:t>
            </w:r>
          </w:p>
        </w:tc>
        <w:tc>
          <w:tcPr>
            <w:tcW w:type="dxa" w:w="33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Resume or verify a recent transaction</w:t>
            </w:r>
          </w:p>
        </w:tc>
        <w:tc>
          <w:tcPr>
            <w:tcW w:type="dxa" w:w="42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History and Digital ID remain persistent in bottom navigation.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Mobile webview user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Complete a focused task without leaving the host app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Use a single-column shell, safe-area spacing, and no browser-dependent controls.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Hackathon evaluator</w:t>
            </w:r>
          </w:p>
        </w:tc>
        <w:tc>
          <w:tcPr>
            <w:tcW w:type="dxa" w:w="33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Understand the product and its fit with eGovPH</w:t>
            </w:r>
          </w:p>
        </w:tc>
        <w:tc>
          <w:tcPr>
            <w:tcW w:type="dxa" w:w="42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The embedded product entry point must be discoverable and visually native.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Accessibility user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Navigate with assistive technology or limited dexterity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Semantic labels, focus visibility, contrast, and 44-48 px targets are required.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4. Design principles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Government, not generic: use civic-service terminology, restrained colors, familiar icons, and clear trust signals.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Search first: the primary action is finding a service; search must remain visually dominant.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Progressive density: show essential context first, then categories, campaigns, contextual information, and featured services.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Thumb-zone navigation: place the five primary destinations at the bottom and emphasize Digital ID as the central action.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Familiarity over novelty: motion and decoration support comprehension but never alter the recognizable eGov structure.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Prototype safely: simulate transactions and identity states without persisting sensitive personal data.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5. Information architecture</w:t>
      </w:r>
    </w:p>
    <w:p>
      <w:r>
        <w:rPr>
          <w:rFonts w:ascii="Calibri" w:hAnsi="Calibri"/>
          <w:b w:val="0"/>
          <w:i w:val="0"/>
          <w:color w:val="141B2B"/>
          <w:sz w:val="22"/>
        </w:rPr>
        <w:t>The primary navigation contains five persistent destinations in this order: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FE6F1"/>
          <w:left w:val="single" w:sz="6" w:space="0" w:color="DFE6F1"/>
          <w:bottom w:val="single" w:sz="6" w:space="0" w:color="DFE6F1"/>
          <w:right w:val="single" w:sz="6" w:space="0" w:color="DFE6F1"/>
          <w:insideH w:val="single" w:sz="6" w:space="0" w:color="DFE6F1"/>
          <w:insideV w:val="single" w:sz="6" w:space="0" w:color="DFE6F1"/>
        </w:tblBorders>
      </w:tblPr>
      <w:tblGrid>
        <w:gridCol w:w="850"/>
        <w:gridCol w:w="1600"/>
        <w:gridCol w:w="4200"/>
        <w:gridCol w:w="2710"/>
      </w:tblGrid>
      <w:tr>
        <w:trPr>
          <w:tblHeader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Position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Destination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Selected state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1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Home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Service discovery, announcements, weather, and featured services</w:t>
            </w:r>
          </w:p>
        </w:tc>
        <w:tc>
          <w:tcPr>
            <w:tcW w:type="dxa" w:w="2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Blue icon and label with a soft-blue indicator</w:t>
            </w:r>
          </w:p>
        </w:tc>
      </w:tr>
      <w:tr>
        <w:tc>
          <w:tcPr>
            <w:tcW w:type="dxa" w:w="85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2</w:t>
            </w:r>
          </w:p>
        </w:tc>
        <w:tc>
          <w:tcPr>
            <w:tcW w:type="dxa" w:w="16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Scan QR</w:t>
            </w:r>
          </w:p>
        </w:tc>
        <w:tc>
          <w:tcPr>
            <w:tcW w:type="dxa" w:w="42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Open or verify a government QR code</w:t>
            </w:r>
          </w:p>
        </w:tc>
        <w:tc>
          <w:tcPr>
            <w:tcW w:type="dxa" w:w="271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Active blue treatment; scanner view replaces home content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3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Digital ID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Display the user's verified digital credential</w:t>
            </w:r>
          </w:p>
        </w:tc>
        <w:tc>
          <w:tcPr>
            <w:tcW w:type="dxa" w:w="2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Raised circular blue control centered over the navigation bar</w:t>
            </w:r>
          </w:p>
        </w:tc>
      </w:tr>
      <w:tr>
        <w:tc>
          <w:tcPr>
            <w:tcW w:type="dxa" w:w="85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4</w:t>
            </w:r>
          </w:p>
        </w:tc>
        <w:tc>
          <w:tcPr>
            <w:tcW w:type="dxa" w:w="16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History</w:t>
            </w:r>
          </w:p>
        </w:tc>
        <w:tc>
          <w:tcPr>
            <w:tcW w:type="dxa" w:w="42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Review recently opened services or transactions</w:t>
            </w:r>
          </w:p>
        </w:tc>
        <w:tc>
          <w:tcPr>
            <w:tcW w:type="dxa" w:w="271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Active blue treatment and chronological list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5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Account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Manage profile, language, alerts, privacy, and security</w:t>
            </w:r>
          </w:p>
        </w:tc>
        <w:tc>
          <w:tcPr>
            <w:tcW w:type="dxa" w:w="2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Active blue treatment and settings list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6. Home screen anatomy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FE6F1"/>
          <w:left w:val="single" w:sz="6" w:space="0" w:color="DFE6F1"/>
          <w:bottom w:val="single" w:sz="6" w:space="0" w:color="DFE6F1"/>
          <w:right w:val="single" w:sz="6" w:space="0" w:color="DFE6F1"/>
          <w:insideH w:val="single" w:sz="6" w:space="0" w:color="DFE6F1"/>
          <w:insideV w:val="single" w:sz="6" w:space="0" w:color="DFE6F1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Zone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 content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Design requirement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Identity header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eGovPH logo, welcome line, user avatar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Single compact row; greeting is blue and right-aligned beside the avatar.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Context strip</w:t>
            </w:r>
          </w:p>
        </w:tc>
        <w:tc>
          <w:tcPr>
            <w:tcW w:type="dxa" w:w="3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Location and current date</w:t>
            </w:r>
          </w:p>
        </w:tc>
        <w:tc>
          <w:tcPr>
            <w:tcW w:type="dxa" w:w="40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Use a moon/location cue on the left and date on the right; keep both readable on 320 px screens.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Service search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Placeholder such as 'Search services like National ID'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Outlined white field, large trailing search icon, 64 px target height, clear focus ring.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Category rail</w:t>
            </w:r>
          </w:p>
        </w:tc>
        <w:tc>
          <w:tcPr>
            <w:tcW w:type="dxa" w:w="3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NGAs, LGUs, Travel, Health, Report, Jobs</w:t>
            </w:r>
          </w:p>
        </w:tc>
        <w:tc>
          <w:tcPr>
            <w:tcW w:type="dxa" w:w="40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Horizontal scroll; circular pale-blue icon containers; Report may carry a red New badge.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Campaign banner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eTravel or rotating government announcement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Rounded landscape card, full-width within page gutters, dot position indicator below.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Context cards</w:t>
            </w:r>
          </w:p>
        </w:tc>
        <w:tc>
          <w:tcPr>
            <w:tcW w:type="dxa" w:w="3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Weather, eTrabaho, eGov AI</w:t>
            </w:r>
          </w:p>
        </w:tc>
        <w:tc>
          <w:tcPr>
            <w:tcW w:type="dxa" w:w="40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Two-column composition: one tall weather card and two stacked feature cards.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Featured services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National and Local scope tabs plus service list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Light section background; clear tab selection; service cards use icon, title, summary, and chevron.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Bottom navigation</w:t>
            </w:r>
          </w:p>
        </w:tc>
        <w:tc>
          <w:tcPr>
            <w:tcW w:type="dxa" w:w="3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Home, Scan QR, Digital ID, History, Account</w:t>
            </w:r>
          </w:p>
        </w:tc>
        <w:tc>
          <w:tcPr>
            <w:tcW w:type="dxa" w:w="40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Fixed to viewport, respects safe areas, remains above content, and uses 44 px minimum targets.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7. Visual design system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7.1 Color</w:t>
      </w:r>
    </w:p>
    <w:p>
      <w:r>
        <w:rPr>
          <w:rFonts w:ascii="Calibri" w:hAnsi="Calibri"/>
          <w:b w:val="0"/>
          <w:i w:val="0"/>
          <w:color w:val="141B2B"/>
          <w:sz w:val="22"/>
        </w:rPr>
        <w:t>The interface uses a white foundation with a strong blue civic identity and small yellow/red accents derived from the eGovPH mark.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FE6F1"/>
          <w:left w:val="single" w:sz="6" w:space="0" w:color="DFE6F1"/>
          <w:bottom w:val="single" w:sz="6" w:space="0" w:color="DFE6F1"/>
          <w:right w:val="single" w:sz="6" w:space="0" w:color="DFE6F1"/>
          <w:insideH w:val="single" w:sz="6" w:space="0" w:color="DFE6F1"/>
          <w:insideV w:val="single" w:sz="6" w:space="0" w:color="DFE6F1"/>
        </w:tblBorders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Primary blue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#064ED8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Brand, active navigation, links, focus, and primary actions</w:t>
            </w:r>
          </w:p>
        </w:tc>
      </w:tr>
      <w:tr>
        <w:tc>
          <w:tcPr>
            <w:tcW w:type="dxa" w:w="21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Dark blue</w:t>
            </w:r>
          </w:p>
        </w:tc>
        <w:tc>
          <w:tcPr>
            <w:tcW w:type="dxa" w:w="1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#06338F</w:t>
            </w:r>
          </w:p>
        </w:tc>
        <w:tc>
          <w:tcPr>
            <w:tcW w:type="dxa" w:w="57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High-emphasis headings and identity surfaces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Soft blue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#EAF2FF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Category circles, active indicators, and calm information backgrounds</w:t>
            </w:r>
          </w:p>
        </w:tc>
      </w:tr>
      <w:tr>
        <w:tc>
          <w:tcPr>
            <w:tcW w:type="dxa" w:w="21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Yellow</w:t>
            </w:r>
          </w:p>
        </w:tc>
        <w:tc>
          <w:tcPr>
            <w:tcW w:type="dxa" w:w="1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#F7C928</w:t>
            </w:r>
          </w:p>
        </w:tc>
        <w:tc>
          <w:tcPr>
            <w:tcW w:type="dxa" w:w="57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Logo accent and selective positive emphasis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Red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#E43D4E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Logo accent, New badge, warnings, and report-related cues</w:t>
            </w:r>
          </w:p>
        </w:tc>
      </w:tr>
      <w:tr>
        <w:tc>
          <w:tcPr>
            <w:tcW w:type="dxa" w:w="21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Ink</w:t>
            </w:r>
          </w:p>
        </w:tc>
        <w:tc>
          <w:tcPr>
            <w:tcW w:type="dxa" w:w="1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#141B2B</w:t>
            </w:r>
          </w:p>
        </w:tc>
        <w:tc>
          <w:tcPr>
            <w:tcW w:type="dxa" w:w="57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Primary text and icons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Muted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#637087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Secondary labels, metadata, and descriptions</w:t>
            </w:r>
          </w:p>
        </w:tc>
      </w:tr>
      <w:tr>
        <w:tc>
          <w:tcPr>
            <w:tcW w:type="dxa" w:w="21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Divider</w:t>
            </w:r>
          </w:p>
        </w:tc>
        <w:tc>
          <w:tcPr>
            <w:tcW w:type="dxa" w:w="15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#DFE6F1</w:t>
            </w:r>
          </w:p>
        </w:tc>
        <w:tc>
          <w:tcPr>
            <w:tcW w:type="dxa" w:w="57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Borders and separators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7.2 Typography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Use Poppins for the app-facing interface; provide system sans-serif fallbacks for reliability in webviews.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Greeting and section titles use medium-to-semibold weight; body and metadata use regular or light weights.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Do not rely on all-caps except for short context labels or location metadata.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Support browser text zoom and avoid fixed-height containers around multi-line text.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7.3 Shape, spacing, and imagery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Page gutters: approximately 20-24 px on a 390 px viewport.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Search radius: 12 px; campaign and feature cards: 12-14 px; category icons and avatar: circular.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Base spacing rhythm: 4, 8, 12, 16, 20, 24, and 32 px.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Use soft shadows only where elevation clarifies fixed navigation, modal sheets, or identity cards.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Campaign imagery should be optimistic, diverse, service-specific, and legible beside text.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8. Functional requirements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FE6F1"/>
          <w:left w:val="single" w:sz="6" w:space="0" w:color="DFE6F1"/>
          <w:bottom w:val="single" w:sz="6" w:space="0" w:color="DFE6F1"/>
          <w:right w:val="single" w:sz="6" w:space="0" w:color="DFE6F1"/>
          <w:insideH w:val="single" w:sz="6" w:space="0" w:color="DFE6F1"/>
          <w:insideV w:val="single" w:sz="6" w:space="0" w:color="DFE6F1"/>
        </w:tblBorders>
      </w:tblPr>
      <w:tblGrid>
        <w:gridCol w:w="1000"/>
        <w:gridCol w:w="2000"/>
        <w:gridCol w:w="6360"/>
      </w:tblGrid>
      <w:tr>
        <w:trPr>
          <w:tblHeader w:val="true"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FR-01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Search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Typing filters services by title and description; clearing restores the default home state.</w:t>
            </w:r>
          </w:p>
        </w:tc>
      </w:tr>
      <w:tr>
        <w:tc>
          <w:tcPr>
            <w:tcW w:type="dxa" w:w="1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FR-02</w:t>
            </w:r>
          </w:p>
        </w:tc>
        <w:tc>
          <w:tcPr>
            <w:tcW w:type="dxa" w:w="2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Category filter</w:t>
            </w:r>
          </w:p>
        </w:tc>
        <w:tc>
          <w:tcPr>
            <w:tcW w:type="dxa" w:w="63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Selecting a category filters matching services and exposes a clear-filter action.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FR-03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Service details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Selecting a service opens an accessible modal sheet with description, trust notice, and continue action.</w:t>
            </w:r>
          </w:p>
        </w:tc>
      </w:tr>
      <w:tr>
        <w:tc>
          <w:tcPr>
            <w:tcW w:type="dxa" w:w="1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FR-04</w:t>
            </w:r>
          </w:p>
        </w:tc>
        <w:tc>
          <w:tcPr>
            <w:tcW w:type="dxa" w:w="2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History</w:t>
            </w:r>
          </w:p>
        </w:tc>
        <w:tc>
          <w:tcPr>
            <w:tcW w:type="dxa" w:w="63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Continuing to a service records a non-sensitive recent activity entry in local prototype storage.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FR-05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Campaign rotation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Announcements may rotate automatically; reduced-motion settings disable or minimize animation.</w:t>
            </w:r>
          </w:p>
        </w:tc>
      </w:tr>
      <w:tr>
        <w:tc>
          <w:tcPr>
            <w:tcW w:type="dxa" w:w="1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FR-06</w:t>
            </w:r>
          </w:p>
        </w:tc>
        <w:tc>
          <w:tcPr>
            <w:tcW w:type="dxa" w:w="2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QR scanner</w:t>
            </w:r>
          </w:p>
        </w:tc>
        <w:tc>
          <w:tcPr>
            <w:tcW w:type="dxa" w:w="63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The prototype shows a camera/scanning state without requiring production camera integration.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FR-07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Digital ID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The demo credential masks the identifier by default and supports explicit reveal/hide.</w:t>
            </w:r>
          </w:p>
        </w:tc>
      </w:tr>
      <w:tr>
        <w:tc>
          <w:tcPr>
            <w:tcW w:type="dxa" w:w="1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FR-08</w:t>
            </w:r>
          </w:p>
        </w:tc>
        <w:tc>
          <w:tcPr>
            <w:tcW w:type="dxa" w:w="2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Account preferences</w:t>
            </w:r>
          </w:p>
        </w:tc>
        <w:tc>
          <w:tcPr>
            <w:tcW w:type="dxa" w:w="63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Language and notification settings respond locally and do not imply backend persistence.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FR-09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Embedded product entry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The hackathon product is discoverable as a featured tile, service card, or search result and opens within the same shell.</w:t>
            </w:r>
          </w:p>
        </w:tc>
      </w:tr>
      <w:tr>
        <w:tc>
          <w:tcPr>
            <w:tcW w:type="dxa" w:w="1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FR-10</w:t>
            </w:r>
          </w:p>
        </w:tc>
        <w:tc>
          <w:tcPr>
            <w:tcW w:type="dxa" w:w="2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Keyboard shortcuts</w:t>
            </w:r>
          </w:p>
        </w:tc>
        <w:tc>
          <w:tcPr>
            <w:tcW w:type="dxa" w:w="63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Ctrl/Cmd+K focuses search and Escape closes modal content where supported.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9. Embedded web and responsive requirements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Primary target viewport is 320-500 px wide. The content remains a centered mobile surface on larger browser windows rather than changing to a separate desktop product.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The shell must respect CSS safe-area insets for status bars, camera cutouts, and home indicators.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No horizontal page overflow is permitted. The category rail is the only intentionally horizontal scroll region.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Bottom navigation remains fixed; page content includes sufficient bottom padding so no interactive content is permanently obscured.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The build must complete with the Vite production command and emit static assets to dist for Vercel deployment.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The page must load over HTTPS and avoid embedding secrets, access tokens, or production citizen data in client code.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External links or government portals must open only after an explicit user action and must clearly identify the destination.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10. Accessibility and quality requirements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Interactive controls have an accessible name, visible focus state, and a minimum 44 x 44 CSS pixel target; use 48 px where space permits.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Text and functional icons meet WCAG 2.1 AA contrast targets.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Navigation communicates the current page with aria-current or equivalent semantics.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Modal sheets trap or manage focus appropriately, close with Escape, and return focus to the invoking control.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Animations use transform/opacity where possible and honor prefers-reduced-motion.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All content remains usable at 200% text zoom without clipping or loss of functionality.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Images that convey information have useful alternative text; decorative reference imagery is hidden from assistive technology.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Loading, empty, error, and offline states provide a recovery path rather than leaving blank content.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11. Acceptance criteria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At 390 x 844 px, the identity header, search, category row, campaign banner, contextual cards, featured-services heading, and five-item navigation follow the supplied reference hierarchy.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The page has no unintended horizontal overflow at 320, 390, 430, 500, and 1440 px viewport widths.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All five navigation items remain visible and operable; Digital ID retains the raised central emphasis.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Search, category filtering, service modal, continue action, history entry, Digital ID reveal, and account preferences work without console errors.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A keyboard-only user can reach and operate every interactive control and can visibly identify focus.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No button or form control has a target smaller than 44 x 44 CSS pixels, except non-interactive visual indicators.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The production build completes successfully and the deployed Vercel route loads directly without a 404.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The prototype includes a visible or documented disclaimer that no real government or identity data is stored.</w:t>
      </w:r>
    </w:p>
    <w:p>
      <w:pPr>
        <w:numPr>
          <w:ilvl w:val="0"/>
          <w:numId w:val="10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Official or event-approved assets replace screenshot-derived imagery before public release when required by hackathon rules.</w:t>
      </w: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12. Success metrics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FE6F1"/>
          <w:left w:val="single" w:sz="6" w:space="0" w:color="DFE6F1"/>
          <w:bottom w:val="single" w:sz="6" w:space="0" w:color="DFE6F1"/>
          <w:right w:val="single" w:sz="6" w:space="0" w:color="DFE6F1"/>
          <w:insideH w:val="single" w:sz="6" w:space="0" w:color="DFE6F1"/>
          <w:insideV w:val="single" w:sz="6" w:space="0" w:color="DFE6F1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Prototype target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6338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Service discovery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User locates a named service in ≤ 10 seconds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Moderated usability task</w:t>
            </w:r>
          </w:p>
        </w:tc>
      </w:tr>
      <w:tr>
        <w:tc>
          <w:tcPr>
            <w:tcW w:type="dxa" w:w="23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Navigation comprehension</w:t>
            </w:r>
          </w:p>
        </w:tc>
        <w:tc>
          <w:tcPr>
            <w:tcW w:type="dxa" w:w="3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≥ 90% identify the five primary destinations</w:t>
            </w:r>
          </w:p>
        </w:tc>
        <w:tc>
          <w:tcPr>
            <w:tcW w:type="dxa" w:w="40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First-click or label-recognition test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Task entry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≥ 80% reach the embedded product without assistance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Hackathon demo usability test</w:t>
            </w:r>
          </w:p>
        </w:tc>
      </w:tr>
      <w:tr>
        <w:tc>
          <w:tcPr>
            <w:tcW w:type="dxa" w:w="23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Performance</w:t>
            </w:r>
          </w:p>
        </w:tc>
        <w:tc>
          <w:tcPr>
            <w:tcW w:type="dxa" w:w="3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Interactive in &lt; 3 seconds on typical mobile connectivity</w:t>
            </w:r>
          </w:p>
        </w:tc>
        <w:tc>
          <w:tcPr>
            <w:tcW w:type="dxa" w:w="40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Lighthouse plus real-device observation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Reliability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Zero uncaught console errors in core demo flows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Automated browser smoke test</w:t>
            </w:r>
          </w:p>
        </w:tc>
      </w:tr>
      <w:tr>
        <w:tc>
          <w:tcPr>
            <w:tcW w:type="dxa" w:w="23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B"/>
                <w:sz w:val="17"/>
              </w:rPr>
              <w:t>Accessibility</w:t>
            </w:r>
          </w:p>
        </w:tc>
        <w:tc>
          <w:tcPr>
            <w:tcW w:type="dxa" w:w="300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No critical automated accessibility violations</w:t>
            </w:r>
          </w:p>
        </w:tc>
        <w:tc>
          <w:tcPr>
            <w:tcW w:type="dxa" w:w="4060"/>
            <w:shd w:fill="F8FAF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41B2B"/>
                <w:sz w:val="17"/>
              </w:rPr>
              <w:t>Automated scan plus keyboard review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13. Risks, dependencies, and open questions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13.1 Risks and dependencies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Use of the eGovPH brand and imagery requires organizer authorization.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Live integrations require security, privacy, API, and agency approval.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Target webview constraints for navigation, cookies, camera, and storage are unconfirmed.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Only the supplied home-state pattern is currently in scope.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  <w:color w:val="141B2B"/>
          <w:sz w:val="22"/>
        </w:rPr>
        <w:t>13.2 Open questions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What is the product module's final name, icon, and value proposition?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Which category and featured-service slot launches it?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How will authenticated citizen context be passed securely to the webview?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Which agencies, APIs, or datasets are approved for the demo?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Is the host webview Android, iOS, or cross-platform?</w:t>
      </w:r>
    </w:p>
    <w:p>
      <w:pPr>
        <w:numPr>
          <w:ilvl w:val="0"/>
          <w:numId w:val="1"/>
        </w:numPr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41B2B"/>
          <w:sz w:val="22"/>
        </w:rPr>
        <w:t>Which official assets and submission disclaimers are required?</w:t>
      </w:r>
    </w:p>
    <w:p>
      <w:pPr>
        <w:spacing w:before="80" w:after="0"/>
        <w:ind w:left="115" w:right="115"/>
        <w:shd w:fill="FFF7D6"/>
        <w:pBdr>
          <w:left w:val="single" w:sz="18" w:space="6" w:color="7A5A00"/>
        </w:pBdr>
      </w:pPr>
      <w:r>
        <w:rPr>
          <w:rFonts w:ascii="Calibri" w:hAnsi="Calibri"/>
          <w:b/>
          <w:i w:val="0"/>
          <w:color w:val="7A5A00"/>
          <w:sz w:val="20"/>
        </w:rPr>
        <w:t xml:space="preserve">Handoff definition: </w:t>
      </w:r>
      <w:r>
        <w:rPr>
          <w:rFonts w:ascii="Calibri" w:hAnsi="Calibri"/>
          <w:b w:val="0"/>
          <w:i w:val="0"/>
          <w:color w:val="141B2B"/>
          <w:sz w:val="20"/>
        </w:rPr>
        <w:t>Design is ready for extension after the team confirms the module name, entry point, authenticated-context contract, and post-launch workflow.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FFFFFF"/>
          <w:sz w:val="2"/>
        </w:rPr>
        <w:t>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37087"/>
        <w:sz w:val="17"/>
      </w:rPr>
      <w:t xml:space="preserve">Hackathon Product Team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37087"/>
        <w:sz w:val="17"/>
      </w:rPr>
      <w:t>eGovPH Design PRD</w:t>
    </w:r>
    <w:r>
      <w:rPr>
        <w:rFonts w:ascii="Calibri" w:hAnsi="Calibri"/>
        <w:b w:val="0"/>
        <w:i w:val="0"/>
        <w:color w:val="637087"/>
        <w:sz w:val="17"/>
      </w:rPr>
      <w:t xml:space="preserve">   |   Embedded Web Experience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41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6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633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633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eGovPH Embedded Web Experience - Product Requirements Document</dc:title>
  <dc:subject>Design and product requirements for an eGovPH-inspired embedded webapp</dc:subject>
  <dc:creator>Hackathon Product Team</dc:creator>
  <cp:keywords>eGovPH, PRD, embedded webapp, civic services,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