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line="276" w:lineRule="auto"/>
      </w:pPr>
      <w:r>
        <w:rPr>
          <w:b/>
          <w:sz w:val="40"/>
          <w:szCs w:val="40"/>
          <w:color w:val="262626"/>
        </w:rPr>
        <w:t xml:space="preserve">Foodix Envíos — Términos y Condiciones</w:t>
      </w:r>
    </w:p>
    <w:p>
      <w:pPr>
        <w:spacing w:before="0" w:after="20" w:line="276" w:lineRule="auto"/>
      </w:pPr>
      <w:r>
        <w:rPr>
          <w:i/>
          <w:sz w:val="18"/>
          <w:szCs w:val="18"/>
          <w:color w:val="777777"/>
        </w:rPr>
        <w:t xml:space="preserve">Foodix — AXE CAP S.R.L., NIT 672975027, con domicilio en Av. San Martín S/N, Edificio Manzana 40, Torre 2, Piso 10, Oficina 9, Santa Cruz de la Sierra, Bolivia</w:t>
      </w:r>
    </w:p>
    <w:p>
      <w:pPr>
        <w:spacing w:before="0" w:after="60" w:line="276" w:lineRule="auto"/>
      </w:pPr>
      <w:r>
        <w:rPr>
          <w:i/>
          <w:sz w:val="18"/>
          <w:szCs w:val="18"/>
          <w:color w:val="777777"/>
        </w:rPr>
        <w:t xml:space="preserve">Última actualización: 10 de julio de 2026</w:t>
      </w:r>
    </w:p>
    <w:p>
      <w:pPr>
        <w:shd w:val="clear" w:color="auto" w:fill="FBF3DE"/>
        <w:spacing w:before="20" w:after="120" w:line="276" w:lineRule="auto"/>
      </w:pPr>
      <w:r>
        <w:rPr>
          <w:b/>
          <w:sz w:val="18"/>
          <w:szCs w:val="18"/>
          <w:color w:val="C0870A"/>
        </w:rPr>
        <w:t xml:space="preserve">NOTA: </w:t>
      </w:r>
      <w:r>
        <w:rPr>
          <w:i/>
          <w:sz w:val="18"/>
          <w:szCs w:val="18"/>
          <w:color w:val="555555"/>
        </w:rPr>
        <w:t xml:space="preserve">Versión inicial. Confirmar dominio de envíos y correo oficial. Se recomienda revisión por asesoría legal.</w:t>
      </w:r>
    </w:p>
    <w:p>
      <w:pPr>
        <w:keepNext/>
        <w:spacing w:before="260" w:after="90" w:line="276" w:lineRule="auto"/>
      </w:pPr>
      <w:r>
        <w:rPr>
          <w:b/>
          <w:sz w:val="28"/>
          <w:szCs w:val="28"/>
          <w:color w:val="E41E1B"/>
        </w:rPr>
        <w:t xml:space="preserve">1. General</w:t>
      </w:r>
    </w:p>
    <w:p>
      <w:pPr>
        <w:spacing w:before="40" w:after="80" w:line="276" w:lineRule="auto"/>
      </w:pPr>
      <w:r>
        <w:rPr>
          <w:sz w:val="22"/>
          <w:szCs w:val="22"/>
        </w:rPr>
        <w:t xml:space="preserve">Este documento regula los términos y condiciones (los “Términos y Condiciones”) bajo los cuales los Clientes podrán hacer uso del Servicio de Envíos (el “Servicio Contratado” o el “Servicio”) de Foodix (“Foodix”), en el territorio del Estado Plurinacional de Bolivia, a través del sitio web envios.foodix.com.bo (la “Web”) y/o a través de una integración (la “API” y, junto con la Web, el “Portal”).</w:t>
      </w:r>
    </w:p>
    <w:p>
      <w:pPr>
        <w:spacing w:before="40" w:after="80" w:line="276" w:lineRule="auto"/>
      </w:pPr>
      <w:r>
        <w:rPr>
          <w:sz w:val="22"/>
          <w:szCs w:val="22"/>
        </w:rPr>
        <w:t xml:space="preserve">Estos Términos y Condiciones se entenderán incorporados a cada una de las Órdenes. El desconocimiento de su contenido no justifica su incumplimiento.</w:t>
      </w:r>
    </w:p>
    <w:p>
      <w:pPr>
        <w:shd w:val="clear" w:color="auto" w:fill="F5EFE0"/>
        <w:spacing w:before="80" w:after="80" w:line="276" w:lineRule="auto"/>
      </w:pPr>
      <w:r>
        <w:rPr>
          <w:b/>
          <w:sz w:val="20"/>
          <w:szCs w:val="20"/>
        </w:rPr>
        <w:t xml:space="preserve">Cualquier Cliente que no acepte estos Términos y Condiciones, los cuales tienen carácter obligatorio y vinculante, deberá abstenerse de contratar el Servicio.</w:t>
      </w:r>
    </w:p>
    <w:p>
      <w:pPr>
        <w:spacing w:before="40" w:after="80" w:line="276" w:lineRule="auto"/>
      </w:pPr>
      <w:r>
        <w:rPr>
          <w:sz w:val="22"/>
          <w:szCs w:val="22"/>
        </w:rPr>
        <w:t xml:space="preserve">Ante dudas, los Clientes pueden comunicarse con Atención al Cliente a través de la opción de “Ayuda” en la Web.</w:t>
      </w:r>
    </w:p>
    <w:p>
      <w:pPr>
        <w:keepNext/>
        <w:spacing w:before="260" w:after="90" w:line="276" w:lineRule="auto"/>
      </w:pPr>
      <w:r>
        <w:rPr>
          <w:b/>
          <w:sz w:val="28"/>
          <w:szCs w:val="28"/>
          <w:color w:val="E41E1B"/>
        </w:rPr>
        <w:t xml:space="preserve">2. Modificaciones a estos Términos y Condiciones</w:t>
      </w:r>
    </w:p>
    <w:p>
      <w:pPr>
        <w:spacing w:before="40" w:after="80" w:line="276" w:lineRule="auto"/>
      </w:pPr>
      <w:r>
        <w:rPr>
          <w:sz w:val="22"/>
          <w:szCs w:val="22"/>
        </w:rPr>
        <w:t xml:space="preserve">Foodix podrá modificar los Términos y Condiciones en cualquier momento, de manera unilateral, respetando el ordenamiento jurídico aplicable e informando los cambios oportunamente mediante su publicación en la Web con anterioridad a su fecha de vigencia. El uso y pago del Servicio con las modificaciones implicará la aceptación tácita del Cliente. Las Órdenes se regirán por los Términos y Condiciones vigentes al momento de su emisión.</w:t>
      </w:r>
    </w:p>
    <w:p>
      <w:pPr>
        <w:keepNext/>
        <w:spacing w:before="260" w:after="90" w:line="276" w:lineRule="auto"/>
      </w:pPr>
      <w:r>
        <w:rPr>
          <w:b/>
          <w:sz w:val="28"/>
          <w:szCs w:val="28"/>
          <w:color w:val="E41E1B"/>
        </w:rPr>
        <w:t xml:space="preserve">3. Definiciones</w:t>
      </w:r>
    </w:p>
    <w:p>
      <w:pPr>
        <w:spacing w:before="40" w:after="80" w:line="276" w:lineRule="auto"/>
      </w:pPr>
      <w:r>
        <w:rPr>
          <w:sz w:val="22"/>
          <w:szCs w:val="22"/>
        </w:rPr>
        <w:t xml:space="preserve">“Lugar de Entrega”: la dirección donde se entregarán los objetos, indicada por el Cliente en la Solicitud de Servicio.</w:t>
      </w:r>
    </w:p>
    <w:p>
      <w:pPr>
        <w:spacing w:before="40" w:after="80" w:line="276" w:lineRule="auto"/>
      </w:pPr>
      <w:r>
        <w:rPr>
          <w:sz w:val="22"/>
          <w:szCs w:val="22"/>
        </w:rPr>
        <w:t xml:space="preserve">“Lugar de Origen”: la dirección donde se retirarán los objetos, indicada por el Cliente.</w:t>
      </w:r>
    </w:p>
    <w:p>
      <w:pPr>
        <w:spacing w:before="40" w:after="80" w:line="276" w:lineRule="auto"/>
      </w:pPr>
      <w:r>
        <w:rPr>
          <w:sz w:val="22"/>
          <w:szCs w:val="22"/>
        </w:rPr>
        <w:t xml:space="preserve">“Orden”: la constancia que emite Foodix una vez aceptada la Solicitud de Servicio, con toda la información del envío.</w:t>
      </w:r>
    </w:p>
    <w:p>
      <w:pPr>
        <w:spacing w:before="40" w:after="80" w:line="276" w:lineRule="auto"/>
      </w:pPr>
      <w:r>
        <w:rPr>
          <w:sz w:val="22"/>
          <w:szCs w:val="22"/>
        </w:rPr>
        <w:t xml:space="preserve">“Repartidor”: el encargado de ejecutar el Servicio solicitado por el Cliente.</w:t>
      </w:r>
    </w:p>
    <w:p>
      <w:pPr>
        <w:spacing w:before="40" w:after="80" w:line="276" w:lineRule="auto"/>
      </w:pPr>
      <w:r>
        <w:rPr>
          <w:sz w:val="22"/>
          <w:szCs w:val="22"/>
        </w:rPr>
        <w:t xml:space="preserve">“Servicio Contratado” o “Servicio”: el servicio de retiro, traslado y entrega de objetos que los Clientes soliciten a Foodix a través del Portal.</w:t>
      </w:r>
    </w:p>
    <w:p>
      <w:pPr>
        <w:spacing w:before="40" w:after="80" w:line="276" w:lineRule="auto"/>
      </w:pPr>
      <w:r>
        <w:rPr>
          <w:sz w:val="22"/>
          <w:szCs w:val="22"/>
        </w:rPr>
        <w:t xml:space="preserve">“Solicitud de Servicio”: la solicitud que emite el Cliente con la información necesaria para llevar a cabo el Servicio.</w:t>
      </w:r>
    </w:p>
    <w:p>
      <w:pPr>
        <w:spacing w:before="40" w:after="80" w:line="276" w:lineRule="auto"/>
      </w:pPr>
      <w:r>
        <w:rPr>
          <w:sz w:val="22"/>
          <w:szCs w:val="22"/>
        </w:rPr>
        <w:t xml:space="preserve">“Portal”: el sitio web envios.foodix.com.bo y la API.</w:t>
      </w:r>
    </w:p>
    <w:p>
      <w:pPr>
        <w:spacing w:before="40" w:after="80" w:line="276" w:lineRule="auto"/>
      </w:pPr>
      <w:r>
        <w:rPr>
          <w:sz w:val="22"/>
          <w:szCs w:val="22"/>
        </w:rPr>
        <w:t xml:space="preserve">“Cliente”: toda persona física y/o jurídica que solicite el Servicio a Foodix.</w:t>
      </w:r>
    </w:p>
    <w:p>
      <w:pPr>
        <w:keepNext/>
        <w:spacing w:before="260" w:after="90" w:line="276" w:lineRule="auto"/>
      </w:pPr>
      <w:r>
        <w:rPr>
          <w:b/>
          <w:sz w:val="28"/>
          <w:szCs w:val="28"/>
          <w:color w:val="E41E1B"/>
        </w:rPr>
        <w:t xml:space="preserve">4. Capacidad</w:t>
      </w:r>
    </w:p>
    <w:p>
      <w:pPr>
        <w:spacing w:before="40" w:after="80" w:line="276" w:lineRule="auto"/>
      </w:pPr>
      <w:r>
        <w:rPr>
          <w:sz w:val="22"/>
          <w:szCs w:val="22"/>
        </w:rPr>
        <w:t xml:space="preserve">El Servicio solo está disponible para Clientes con capacidad legal para contratar. No podrán utilizarlo los Clientes que hayan sido suspendidos temporal o definitivamente.</w:t>
      </w:r>
    </w:p>
    <w:p>
      <w:pPr>
        <w:keepNext/>
        <w:spacing w:before="260" w:after="90" w:line="276" w:lineRule="auto"/>
      </w:pPr>
      <w:r>
        <w:rPr>
          <w:b/>
          <w:sz w:val="28"/>
          <w:szCs w:val="28"/>
          <w:color w:val="E41E1B"/>
        </w:rPr>
        <w:t xml:space="preserve">5. Creación de cuenta</w:t>
      </w:r>
    </w:p>
    <w:p>
      <w:pPr>
        <w:spacing w:before="40" w:after="80" w:line="276" w:lineRule="auto"/>
      </w:pPr>
      <w:r>
        <w:rPr>
          <w:sz w:val="22"/>
          <w:szCs w:val="22"/>
        </w:rPr>
        <w:t xml:space="preserve">Foodix creará para cada Cliente una cuenta de usuario (la “Cuenta”). El Cliente deberá informar los datos que se soliciten (los “Datos”), que deberán ser exactos, completos, precisos y verdaderos, asumiendo la obligación de actualizarlos. Foodix no se responsabiliza por la certeza de los Datos.</w:t>
      </w:r>
    </w:p>
    <w:p>
      <w:pPr>
        <w:spacing w:before="40" w:after="80" w:line="276" w:lineRule="auto"/>
      </w:pPr>
      <w:r>
        <w:rPr>
          <w:sz w:val="22"/>
          <w:szCs w:val="22"/>
        </w:rPr>
        <w:t xml:space="preserve">Foodix podrá requerir documentación adicional para corroborar los Datos y suspender a los Clientes cuyos datos no puedan confirmarse. Para acceder por la Web, el Cliente ingresará el correo y la contraseña, manteniendo su confidencialidad; para acceder por la API, usará las credenciales que Foodix le proporcione. El Cliente es el único responsable de las transacciones de su Cuenta y deberá notificar cualquier uso no autorizado. Foodix podrá rechazar o cancelar una registración sin expresar motivos y sin generar derecho a indemnización.</w:t>
      </w:r>
    </w:p>
    <w:p>
      <w:pPr>
        <w:keepNext/>
        <w:spacing w:before="260" w:after="90" w:line="276" w:lineRule="auto"/>
      </w:pPr>
      <w:r>
        <w:rPr>
          <w:b/>
          <w:sz w:val="28"/>
          <w:szCs w:val="28"/>
          <w:color w:val="E41E1B"/>
        </w:rPr>
        <w:t xml:space="preserve">6. Procedimiento de envíos y aclaraciones generales</w:t>
      </w:r>
    </w:p>
    <w:p>
      <w:pPr>
        <w:spacing w:before="40" w:after="80" w:line="276" w:lineRule="auto"/>
      </w:pPr>
      <w:r>
        <w:rPr>
          <w:sz w:val="22"/>
          <w:szCs w:val="22"/>
        </w:rPr>
        <w:t xml:space="preserve">Para usar el Servicio, el Cliente debe estar registrado y cursar una Solicitud de Servicio, detallando los bienes y/o productos, el Lugar de Origen, el Lugar de Entrega y las personas autorizadas a recibir el envío, así como toda información conveniente. Se pondrá a su disposición las características, el tiempo estimado de entrega y el valor total; confirmada la solicitud y aceptada por Foodix, se generará una Orden con todas las especificaciones.</w:t>
      </w:r>
    </w:p>
    <w:p>
      <w:pPr>
        <w:spacing w:before="40" w:after="80" w:line="276" w:lineRule="auto"/>
      </w:pPr>
      <w:r>
        <w:rPr>
          <w:sz w:val="22"/>
          <w:szCs w:val="22"/>
        </w:rPr>
        <w:t xml:space="preserve">Todo Cliente se compromete a pagar el precio del envío desde la emisión de la Orden, salvo cancelación por razones imputables a Foodix. Foodix podrá rechazar la Solicitud sin obligación de notificar los motivos.</w:t>
      </w:r>
    </w:p>
    <w:p>
      <w:pPr>
        <w:spacing w:before="40" w:after="80" w:line="276" w:lineRule="auto"/>
      </w:pPr>
      <w:r>
        <w:rPr>
          <w:sz w:val="22"/>
          <w:szCs w:val="22"/>
        </w:rPr>
        <w:t xml:space="preserve">Al momento de la entrega, y como constancia, el Repartidor podrá, a su discreción: (i) solicitar la firma de una constancia de recepción en su dispositivo; (ii) tomar una foto; y/o (iii) solicitar datos del receptor como nombre completo y número de documento. Foodix y los Repartidores están relevados de comprobar la veracidad de las firmas.</w:t>
      </w:r>
    </w:p>
    <w:p>
      <w:pPr>
        <w:spacing w:before="40" w:after="80" w:line="276" w:lineRule="auto"/>
      </w:pPr>
      <w:r>
        <w:rPr>
          <w:sz w:val="22"/>
          <w:szCs w:val="22"/>
        </w:rPr>
        <w:t xml:space="preserve">Todo error u omisión en el Lugar de Origen y/o de Entrega será responsabilidad exclusiva del Cliente, quien asumirá los costos derivados. El tiempo de entrega es estimado y puede verse afectado por el tráfico, el clima, los horarios pico y la disponibilidad de Repartidores.</w:t>
      </w:r>
    </w:p>
    <w:p>
      <w:pPr>
        <w:spacing w:before="40" w:after="80" w:line="276" w:lineRule="auto"/>
      </w:pPr>
      <w:r>
        <w:rPr>
          <w:sz w:val="22"/>
          <w:szCs w:val="22"/>
        </w:rPr>
        <w:t xml:space="preserve">Si quien deba recibir el envío no se encuentra en el Lugar de Entrega, el Repartidor retornará los objetos al Lugar de Origen sin responsabilidad alguna, considerándose aceptada dicha entrega; el Cliente asumirá el 100% de los costos derivados de la imposibilidad de entrega. Si tampoco pudieran devolverse en el Lugar de Origen, permanecerán donde Foodix disponga hasta su entrega, sin que Foodix sea responsable del deterioro o caducidad del producto.</w:t>
      </w:r>
    </w:p>
    <w:p>
      <w:pPr>
        <w:keepNext/>
        <w:spacing w:before="260" w:after="90" w:line="276" w:lineRule="auto"/>
      </w:pPr>
      <w:r>
        <w:rPr>
          <w:b/>
          <w:sz w:val="28"/>
          <w:szCs w:val="28"/>
          <w:color w:val="E41E1B"/>
        </w:rPr>
        <w:t xml:space="preserve">7. Precio y forma de pago</w:t>
      </w:r>
    </w:p>
    <w:p>
      <w:pPr>
        <w:spacing w:before="40" w:after="80" w:line="276" w:lineRule="auto"/>
      </w:pPr>
      <w:r>
        <w:rPr>
          <w:sz w:val="22"/>
          <w:szCs w:val="22"/>
        </w:rPr>
        <w:t xml:space="preserve">El precio del Servicio (el “Precio”) se detallará al Cliente antes de la emisión de la Orden y se facturará en moneda local. Foodix emitirá factura por cada Servicio o de forma mensual, según la modalidad de contratación. El pago se realizará con tarjeta de crédito o débito o, en la modalidad mensual, mediante transferencia bancaria o débito automático. El no pago dentro del plazo se considerará incumplimiento grave, facultando a Foodix a suspender o terminar el Servicio de forma inmediata y sin responsabilidad.</w:t>
      </w:r>
    </w:p>
    <w:p>
      <w:pPr>
        <w:keepNext/>
        <w:spacing w:before="260" w:after="90" w:line="276" w:lineRule="auto"/>
      </w:pPr>
      <w:r>
        <w:rPr>
          <w:b/>
          <w:sz w:val="28"/>
          <w:szCs w:val="28"/>
          <w:color w:val="E41E1B"/>
        </w:rPr>
        <w:t xml:space="preserve">8. Responsabilidad</w:t>
      </w:r>
    </w:p>
    <w:p>
      <w:pPr>
        <w:spacing w:before="40" w:after="80" w:line="276" w:lineRule="auto"/>
      </w:pPr>
      <w:r>
        <w:rPr>
          <w:sz w:val="22"/>
          <w:szCs w:val="22"/>
        </w:rPr>
        <w:t xml:space="preserve">Foodix únicamente pone a disposición de los Clientes un espacio virtual para solicitar el Servicio. Foodix no es propietaria de los bienes/productos, no tiene posesión de ellos ni los ofrece en venta. El Cliente es el único responsable de la existencia, calidad, cantidad, estado, integridad o legitimidad de los bienes/productos.</w:t>
      </w:r>
    </w:p>
    <w:p>
      <w:pPr>
        <w:keepNext/>
        <w:spacing w:before="260" w:after="90" w:line="276" w:lineRule="auto"/>
      </w:pPr>
      <w:r>
        <w:rPr>
          <w:b/>
          <w:sz w:val="28"/>
          <w:szCs w:val="28"/>
          <w:color w:val="E41E1B"/>
        </w:rPr>
        <w:t xml:space="preserve">9. Dimensiones de los bienes/productos objeto de envío</w:t>
      </w:r>
    </w:p>
    <w:p>
      <w:pPr>
        <w:spacing w:before="40" w:after="80" w:line="276" w:lineRule="auto"/>
      </w:pPr>
      <w:r>
        <w:rPr>
          <w:sz w:val="22"/>
          <w:szCs w:val="22"/>
        </w:rPr>
        <w:t xml:space="preserve">Los bienes objeto de envío no podrán superar las siguientes dimensiones: 47 cm x 43 cm x 40 cm (alto, ancho, profundidad), ni un peso de 10 kg.</w:t>
      </w:r>
    </w:p>
    <w:p>
      <w:pPr>
        <w:keepNext/>
        <w:spacing w:before="260" w:after="90" w:line="276" w:lineRule="auto"/>
      </w:pPr>
      <w:r>
        <w:rPr>
          <w:b/>
          <w:sz w:val="28"/>
          <w:szCs w:val="28"/>
          <w:color w:val="E41E1B"/>
        </w:rPr>
        <w:t xml:space="preserve">10. Consideraciones sobre los bienes/productos</w:t>
      </w:r>
    </w:p>
    <w:p>
      <w:pPr>
        <w:spacing w:before="40" w:after="80" w:line="276" w:lineRule="auto"/>
      </w:pPr>
      <w:r>
        <w:rPr>
          <w:sz w:val="22"/>
          <w:szCs w:val="22"/>
        </w:rPr>
        <w:t xml:space="preserve">No podrá enviarse:</w:t>
      </w:r>
    </w:p>
    <w:p>
      <w:pPr>
        <w:spacing w:before="20" w:after="40" w:line="276" w:lineRule="auto"/>
        <w:ind w:left="360" w:hanging="360"/>
      </w:pPr>
      <w:r>
        <w:rPr>
          <w:b/>
          <w:sz w:val="22"/>
          <w:szCs w:val="22"/>
        </w:rPr>
        <w:t xml:space="preserve">•   </w:t>
      </w:r>
      <w:r>
        <w:rPr>
          <w:sz w:val="22"/>
          <w:szCs w:val="22"/>
        </w:rPr>
        <w:t xml:space="preserve">Bienes/productos que no cumplan los requisitos de peso y tamaño.</w:t>
      </w:r>
    </w:p>
    <w:p>
      <w:pPr>
        <w:spacing w:before="20" w:after="40" w:line="276" w:lineRule="auto"/>
        <w:ind w:left="360" w:hanging="360"/>
      </w:pPr>
      <w:r>
        <w:rPr>
          <w:b/>
          <w:sz w:val="22"/>
          <w:szCs w:val="22"/>
        </w:rPr>
        <w:t xml:space="preserve">•   </w:t>
      </w:r>
      <w:r>
        <w:rPr>
          <w:sz w:val="22"/>
          <w:szCs w:val="22"/>
        </w:rPr>
        <w:t xml:space="preserve">Material pornográfico.</w:t>
      </w:r>
    </w:p>
    <w:p>
      <w:pPr>
        <w:spacing w:before="20" w:after="40" w:line="276" w:lineRule="auto"/>
        <w:ind w:left="360" w:hanging="360"/>
      </w:pPr>
      <w:r>
        <w:rPr>
          <w:b/>
          <w:sz w:val="22"/>
          <w:szCs w:val="22"/>
        </w:rPr>
        <w:t xml:space="preserve">•   </w:t>
      </w:r>
      <w:r>
        <w:rPr>
          <w:sz w:val="22"/>
          <w:szCs w:val="22"/>
        </w:rPr>
        <w:t xml:space="preserve">Animales.</w:t>
      </w:r>
    </w:p>
    <w:p>
      <w:pPr>
        <w:spacing w:before="20" w:after="40" w:line="276" w:lineRule="auto"/>
        <w:ind w:left="360" w:hanging="360"/>
      </w:pPr>
      <w:r>
        <w:rPr>
          <w:b/>
          <w:sz w:val="22"/>
          <w:szCs w:val="22"/>
        </w:rPr>
        <w:t xml:space="preserve">•   </w:t>
      </w:r>
      <w:r>
        <w:rPr>
          <w:sz w:val="22"/>
          <w:szCs w:val="22"/>
        </w:rPr>
        <w:t xml:space="preserve">Drogas ilegales, incluyendo psicoactivas y drogas vegetales.</w:t>
      </w:r>
    </w:p>
    <w:p>
      <w:pPr>
        <w:spacing w:before="20" w:after="40" w:line="276" w:lineRule="auto"/>
        <w:ind w:left="360" w:hanging="360"/>
      </w:pPr>
      <w:r>
        <w:rPr>
          <w:b/>
          <w:sz w:val="22"/>
          <w:szCs w:val="22"/>
        </w:rPr>
        <w:t xml:space="preserve">•   </w:t>
      </w:r>
      <w:r>
        <w:rPr>
          <w:sz w:val="22"/>
          <w:szCs w:val="22"/>
        </w:rPr>
        <w:t xml:space="preserve">Dinero o instrumentos de dinero electrónico, salvo pacto expreso en contrario.</w:t>
      </w:r>
    </w:p>
    <w:p>
      <w:pPr>
        <w:spacing w:before="20" w:after="40" w:line="276" w:lineRule="auto"/>
        <w:ind w:left="360" w:hanging="360"/>
      </w:pPr>
      <w:r>
        <w:rPr>
          <w:b/>
          <w:sz w:val="22"/>
          <w:szCs w:val="22"/>
        </w:rPr>
        <w:t xml:space="preserve">•   </w:t>
      </w:r>
      <w:r>
        <w:rPr>
          <w:sz w:val="22"/>
          <w:szCs w:val="22"/>
        </w:rPr>
        <w:t xml:space="preserve">Joyas.</w:t>
      </w:r>
    </w:p>
    <w:p>
      <w:pPr>
        <w:spacing w:before="20" w:after="40" w:line="276" w:lineRule="auto"/>
        <w:ind w:left="360" w:hanging="360"/>
      </w:pPr>
      <w:r>
        <w:rPr>
          <w:b/>
          <w:sz w:val="22"/>
          <w:szCs w:val="22"/>
        </w:rPr>
        <w:t xml:space="preserve">•   </w:t>
      </w:r>
      <w:r>
        <w:rPr>
          <w:sz w:val="22"/>
          <w:szCs w:val="22"/>
        </w:rPr>
        <w:t xml:space="preserve">Órganos, fluidos corporales, células y embriones.</w:t>
      </w:r>
    </w:p>
    <w:p>
      <w:pPr>
        <w:spacing w:before="20" w:after="40" w:line="276" w:lineRule="auto"/>
        <w:ind w:left="360" w:hanging="360"/>
      </w:pPr>
      <w:r>
        <w:rPr>
          <w:b/>
          <w:sz w:val="22"/>
          <w:szCs w:val="22"/>
        </w:rPr>
        <w:t xml:space="preserve">•   </w:t>
      </w:r>
      <w:r>
        <w:rPr>
          <w:sz w:val="22"/>
          <w:szCs w:val="22"/>
        </w:rPr>
        <w:t xml:space="preserve">Bienes/productos robados o ilegales, incluyendo armas o armamento.</w:t>
      </w:r>
    </w:p>
    <w:p>
      <w:pPr>
        <w:spacing w:before="20" w:after="40" w:line="276" w:lineRule="auto"/>
        <w:ind w:left="360" w:hanging="360"/>
      </w:pPr>
      <w:r>
        <w:rPr>
          <w:b/>
          <w:sz w:val="22"/>
          <w:szCs w:val="22"/>
        </w:rPr>
        <w:t xml:space="preserve">•   </w:t>
      </w:r>
      <w:r>
        <w:rPr>
          <w:sz w:val="22"/>
          <w:szCs w:val="22"/>
        </w:rPr>
        <w:t xml:space="preserve">Obras de arte y esculturas.</w:t>
      </w:r>
    </w:p>
    <w:p>
      <w:pPr>
        <w:spacing w:before="20" w:after="40" w:line="276" w:lineRule="auto"/>
        <w:ind w:left="360" w:hanging="360"/>
      </w:pPr>
      <w:r>
        <w:rPr>
          <w:b/>
          <w:sz w:val="22"/>
          <w:szCs w:val="22"/>
        </w:rPr>
        <w:t xml:space="preserve">•   </w:t>
      </w:r>
      <w:r>
        <w:rPr>
          <w:sz w:val="22"/>
          <w:szCs w:val="22"/>
        </w:rPr>
        <w:t xml:space="preserve">Objetos cuyo tráfico o circulación esté prohibido por las leyes o convenios internacionales vigentes en Bolivia.</w:t>
      </w:r>
    </w:p>
    <w:p>
      <w:pPr>
        <w:spacing w:before="20" w:after="40" w:line="276" w:lineRule="auto"/>
        <w:ind w:left="360" w:hanging="360"/>
      </w:pPr>
      <w:r>
        <w:rPr>
          <w:b/>
          <w:sz w:val="22"/>
          <w:szCs w:val="22"/>
        </w:rPr>
        <w:t xml:space="preserve">•   </w:t>
      </w:r>
      <w:r>
        <w:rPr>
          <w:sz w:val="22"/>
          <w:szCs w:val="22"/>
        </w:rPr>
        <w:t xml:space="preserve">Productos químicos peligrosos.</w:t>
      </w:r>
    </w:p>
    <w:p>
      <w:pPr>
        <w:spacing w:before="20" w:after="40" w:line="276" w:lineRule="auto"/>
        <w:ind w:left="360" w:hanging="360"/>
      </w:pPr>
      <w:r>
        <w:rPr>
          <w:b/>
          <w:sz w:val="22"/>
          <w:szCs w:val="22"/>
        </w:rPr>
        <w:t xml:space="preserve">•   </w:t>
      </w:r>
      <w:r>
        <w:rPr>
          <w:sz w:val="22"/>
          <w:szCs w:val="22"/>
        </w:rPr>
        <w:t xml:space="preserve">Residuos.</w:t>
      </w:r>
    </w:p>
    <w:p>
      <w:pPr>
        <w:spacing w:before="40" w:after="80" w:line="276" w:lineRule="auto"/>
      </w:pPr>
      <w:r>
        <w:rPr>
          <w:sz w:val="22"/>
          <w:szCs w:val="22"/>
        </w:rPr>
        <w:t xml:space="preserve">La lista podrá sufrir modificaciones. Si se presume que los productos pueden ser prohibidos o ilegales, Foodix y/o el Repartidor podrán realizar la denuncia correspondiente, aportando los datos del Cliente, y los productos quedarán a disposición del organismo competente, sin responsabilidad para Foodix ni el Repartidor.</w:t>
      </w:r>
    </w:p>
    <w:p>
      <w:pPr>
        <w:keepNext/>
        <w:spacing w:before="260" w:after="90" w:line="276" w:lineRule="auto"/>
      </w:pPr>
      <w:r>
        <w:rPr>
          <w:b/>
          <w:sz w:val="28"/>
          <w:szCs w:val="28"/>
          <w:color w:val="E41E1B"/>
        </w:rPr>
        <w:t xml:space="preserve">11. Pérdidas y daños</w:t>
      </w:r>
    </w:p>
    <w:p>
      <w:pPr>
        <w:spacing w:before="40" w:after="80" w:line="276" w:lineRule="auto"/>
      </w:pPr>
      <w:r>
        <w:rPr>
          <w:sz w:val="22"/>
          <w:szCs w:val="22"/>
        </w:rPr>
        <w:t xml:space="preserve">El Cliente declara que el valor total de los objetos de cada Solicitud de Servicio no superará Bs. 1.000.- (un mil bolivianos), salvo pacto expreso en contrario. La responsabilidad de Foodix se limita al valor declarado por el Cliente, no excederá dicho monto y aplicará siempre que se pruebe la culpa de Foodix. La responsabilidad se limita a pérdida directa y daño; se excluyen ganancias perdidas, ingresos, intereses y negocio futuro.</w:t>
      </w:r>
    </w:p>
    <w:p>
      <w:pPr>
        <w:spacing w:before="40" w:after="80" w:line="276" w:lineRule="auto"/>
      </w:pPr>
      <w:r>
        <w:rPr>
          <w:sz w:val="22"/>
          <w:szCs w:val="22"/>
        </w:rPr>
        <w:t xml:space="preserve">La responsabilidad de Foodix no será exigible, entre otros casos: a) fuerza mayor o caso fortuito; b) cuando no se pruebe su responsabilidad; c) culpa o negligencia del Usuario o naturaleza del contenido; d) retención por orden judicial u organismo competente; e) declaración de valor fraudulenta; f) si el receptor no declara el daño al recibir; g) envíos dentro de las prohibiciones del numeral 10; y h) reclamaciones fuera de plazo.</w:t>
      </w:r>
    </w:p>
    <w:p>
      <w:pPr>
        <w:keepNext/>
        <w:spacing w:before="260" w:after="90" w:line="276" w:lineRule="auto"/>
      </w:pPr>
      <w:r>
        <w:rPr>
          <w:b/>
          <w:sz w:val="28"/>
          <w:szCs w:val="28"/>
          <w:color w:val="E41E1B"/>
        </w:rPr>
        <w:t xml:space="preserve">12. Procedimiento de reclamo por daños</w:t>
      </w:r>
    </w:p>
    <w:p>
      <w:pPr>
        <w:spacing w:before="40" w:after="80" w:line="276" w:lineRule="auto"/>
      </w:pPr>
      <w:r>
        <w:rPr>
          <w:sz w:val="22"/>
          <w:szCs w:val="22"/>
        </w:rPr>
        <w:t xml:space="preserve">Los Clientes tendrán 72 horas desde la entrega para efectuar reclamos, presentando factura y/o comprobante de compra y valor de adquisición. Foodix adoptará una resolución dentro de 30 días corridos desde la recepción del reclamo y, de corresponder, abonará la indemnización dentro de 8 días corridos desde la notificación de la resolución final.</w:t>
      </w:r>
    </w:p>
    <w:p>
      <w:pPr>
        <w:keepNext/>
        <w:spacing w:before="260" w:after="90" w:line="276" w:lineRule="auto"/>
      </w:pPr>
      <w:r>
        <w:rPr>
          <w:b/>
          <w:sz w:val="28"/>
          <w:szCs w:val="28"/>
          <w:color w:val="E41E1B"/>
        </w:rPr>
        <w:t xml:space="preserve">13. Privacidad de la información</w:t>
      </w:r>
    </w:p>
    <w:p>
      <w:pPr>
        <w:spacing w:before="40" w:after="80" w:line="276" w:lineRule="auto"/>
      </w:pPr>
      <w:r>
        <w:rPr>
          <w:sz w:val="22"/>
          <w:szCs w:val="22"/>
        </w:rPr>
        <w:t xml:space="preserve">Para utilizar los Servicios, los Clientes deberán facilitar determinados datos personales, que se procesan y almacenan según nuestra Política de Privacidad disponible en la Web.</w:t>
      </w:r>
    </w:p>
    <w:p>
      <w:pPr>
        <w:keepNext/>
        <w:spacing w:before="260" w:after="90" w:line="276" w:lineRule="auto"/>
      </w:pPr>
      <w:r>
        <w:rPr>
          <w:b/>
          <w:sz w:val="28"/>
          <w:szCs w:val="28"/>
          <w:color w:val="E41E1B"/>
        </w:rPr>
        <w:t xml:space="preserve">14. Prohibición de cesión o uso comercial no autorizado</w:t>
      </w:r>
    </w:p>
    <w:p>
      <w:pPr>
        <w:spacing w:before="40" w:after="80" w:line="276" w:lineRule="auto"/>
      </w:pPr>
      <w:r>
        <w:rPr>
          <w:sz w:val="22"/>
          <w:szCs w:val="22"/>
        </w:rPr>
        <w:t xml:space="preserve">Los Clientes no podrán ceder sus derechos u obligaciones y se comprometen a no hacer un uso comercial no autorizado del Portal.</w:t>
      </w:r>
    </w:p>
    <w:p>
      <w:pPr>
        <w:keepNext/>
        <w:spacing w:before="260" w:after="90" w:line="276" w:lineRule="auto"/>
      </w:pPr>
      <w:r>
        <w:rPr>
          <w:b/>
          <w:sz w:val="28"/>
          <w:szCs w:val="28"/>
          <w:color w:val="E41E1B"/>
        </w:rPr>
        <w:t xml:space="preserve">15. Información adicional</w:t>
      </w:r>
    </w:p>
    <w:p>
      <w:pPr>
        <w:spacing w:before="40" w:after="80" w:line="276" w:lineRule="auto"/>
      </w:pPr>
      <w:r>
        <w:rPr>
          <w:sz w:val="22"/>
          <w:szCs w:val="22"/>
        </w:rPr>
        <w:t xml:space="preserve">Foodix no garantiza el acceso y uso continuado o ininterrumpido del Portal, que puede no estar disponible por dificultades técnicas o fallas de Internet u otras circunstancias. En tales casos se procurará restablecerlo con la mayor celeridad posible, sin responsabilidad para Foodix.</w:t>
      </w:r>
    </w:p>
    <w:p>
      <w:pPr>
        <w:keepNext/>
        <w:spacing w:before="260" w:after="90" w:line="276" w:lineRule="auto"/>
      </w:pPr>
      <w:r>
        <w:rPr>
          <w:b/>
          <w:sz w:val="28"/>
          <w:szCs w:val="28"/>
          <w:color w:val="E41E1B"/>
        </w:rPr>
        <w:t xml:space="preserve">16. Ley aplicable y jurisdicción competente</w:t>
      </w:r>
    </w:p>
    <w:p>
      <w:pPr>
        <w:spacing w:before="40" w:after="80" w:line="276" w:lineRule="auto"/>
      </w:pPr>
      <w:r>
        <w:rPr>
          <w:sz w:val="22"/>
          <w:szCs w:val="22"/>
        </w:rPr>
        <w:t xml:space="preserve">Estos Términos y Condiciones se rigen por las leyes vigentes en el Estado Plurinacional de Bolivia. Cualquier controversia sobre su existencia, validez, interpretación, alcance o cumplimiento será resuelta mediante arbitraje institucional en derecho, administrado por el Centro de Conciliación y Arbitraje Comercial de la Cámara de Industria, Comercio, Servicios y Turismo de Santa Cruz (CAINCO). El tribunal arbitral estará conformado por tres (3) árbitros; cada parte designará uno y el tercero será elegido por los designados. El arbitraje se desarrollará en idioma castellano, con sede en Santa Cruz de la Sierra, conforme a la Ley N° 708 de Conciliación y Arbitraje y al Reglamento de Arbitraje del Centro.</w:t>
      </w:r>
    </w:p>
    <w:sectPr>
      <w:pgSz w:w="11906" w:h="16838"/>
      <w:pgMar w:top="1440" w:right="1440" w:bottom="1440" w:left="1440"/>
    </w:sectPr>
  </w:body>
</w:document>
</file>