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line="276" w:lineRule="auto"/>
      </w:pPr>
      <w:r>
        <w:rPr>
          <w:b/>
          <w:sz w:val="40"/>
          <w:szCs w:val="40"/>
          <w:color w:val="262626"/>
        </w:rPr>
        <w:t xml:space="preserve">Foodix Pro — Términos y Condiciones</w:t>
      </w:r>
    </w:p>
    <w:p>
      <w:pPr>
        <w:spacing w:before="0" w:after="20" w:line="276" w:lineRule="auto"/>
      </w:pPr>
      <w:r>
        <w:rPr>
          <w:i/>
          <w:sz w:val="18"/>
          <w:szCs w:val="18"/>
          <w:color w:val="777777"/>
        </w:rPr>
        <w:t xml:space="preserve">Foodix — AXE CAP S.R.L., NIT 672975027, con domicilio en Av. San Martín S/N, Edificio Manzana 40, Torre 2, Piso 10, Oficina 9, Santa Cruz de la Sierra, Bolivia</w:t>
      </w:r>
    </w:p>
    <w:p>
      <w:pPr>
        <w:spacing w:before="0" w:after="60" w:line="276" w:lineRule="auto"/>
      </w:pPr>
      <w:r>
        <w:rPr>
          <w:i/>
          <w:sz w:val="18"/>
          <w:szCs w:val="18"/>
          <w:color w:val="777777"/>
        </w:rPr>
        <w:t xml:space="preserve">Última actualización: 10 de julio de 2026</w:t>
      </w:r>
    </w:p>
    <w:p>
      <w:pPr>
        <w:shd w:val="clear" w:color="auto" w:fill="FBF3DE"/>
        <w:spacing w:before="20" w:after="120" w:line="276" w:lineRule="auto"/>
      </w:pPr>
      <w:r>
        <w:rPr>
          <w:b/>
          <w:sz w:val="18"/>
          <w:szCs w:val="18"/>
          <w:color w:val="C0870A"/>
        </w:rPr>
        <w:t xml:space="preserve">NOTA: </w:t>
      </w:r>
      <w:r>
        <w:rPr>
          <w:i/>
          <w:sz w:val="18"/>
          <w:szCs w:val="18"/>
          <w:color w:val="555555"/>
        </w:rPr>
        <w:t xml:space="preserve">Versión inicial. Confirmar tarifa y correo oficial. Se recomienda revisión por asesoría legal.</w:t>
      </w:r>
    </w:p>
    <w:p>
      <w:pPr>
        <w:keepNext/>
        <w:spacing w:before="260" w:after="90" w:line="276" w:lineRule="auto"/>
      </w:pPr>
      <w:r>
        <w:rPr>
          <w:b/>
          <w:sz w:val="28"/>
          <w:szCs w:val="28"/>
          <w:color w:val="E41E1B"/>
        </w:rPr>
        <w:t xml:space="preserve">Foodix Pro</w:t>
      </w:r>
    </w:p>
    <w:p>
      <w:pPr>
        <w:spacing w:before="40" w:after="80" w:line="276" w:lineRule="auto"/>
      </w:pPr>
      <w:r>
        <w:rPr>
          <w:sz w:val="22"/>
          <w:szCs w:val="22"/>
        </w:rPr>
        <w:t xml:space="preserve">AXE CAP S.R.L., NIT 672975027, con domicilio en Av. San Martín S/N, Edificio Manzana 40, Torre 2, Piso 10, Oficina 9, Santa Cruz de la Sierra, Bolivia (en adelante “Foodix”) pone a disposición de los Usuarios de Foodix el servicio denominado Foodix Pro (en adelante “Foodix Pro” o el “Servicio”), regido por los presentes Términos y Condiciones (“T&amp;C”).</w:t>
      </w:r>
    </w:p>
    <w:p>
      <w:pPr>
        <w:spacing w:before="40" w:after="80" w:line="276" w:lineRule="auto"/>
      </w:pPr>
      <w:r>
        <w:rPr>
          <w:sz w:val="22"/>
          <w:szCs w:val="22"/>
        </w:rPr>
        <w:t xml:space="preserve">El Usuario comprende que, al suscribirse voluntariamente al Servicio, otorga su consentimiento y acepta cumplir de manera integral estos T&amp;C. Los presentes T&amp;C no reemplazan ni modifican (i) los Términos y Condiciones Generales aceptados para el uso de la cuenta, el sitio web y/o la Aplicación de Foodix (el “Portal”); ni (ii) la Política de Privacidad. El Servicio se rige por estos T&amp;C, así como por los Términos y Condiciones Generales de Foodix y su Política de Privacidad.</w:t>
      </w:r>
    </w:p>
    <w:p>
      <w:pPr>
        <w:keepNext/>
        <w:spacing w:before="260" w:after="90" w:line="276" w:lineRule="auto"/>
      </w:pPr>
      <w:r>
        <w:rPr>
          <w:b/>
          <w:sz w:val="28"/>
          <w:szCs w:val="28"/>
          <w:color w:val="E41E1B"/>
        </w:rPr>
        <w:t xml:space="preserve">¿Qué es Foodix Pro?</w:t>
      </w:r>
    </w:p>
    <w:p>
      <w:pPr>
        <w:spacing w:before="40" w:after="80" w:line="276" w:lineRule="auto"/>
      </w:pPr>
      <w:r>
        <w:rPr>
          <w:sz w:val="22"/>
          <w:szCs w:val="22"/>
        </w:rPr>
        <w:t xml:space="preserve">Es un servicio de suscripción voluntaria que permite a los Usuarios registrados de Foodix acceder, mediante un pago mensual, a determinados beneficios en las transacciones que realicen como Usuarios Pro a través de su cuenta en el Portal.</w:t>
      </w:r>
    </w:p>
    <w:p>
      <w:pPr>
        <w:keepNext/>
        <w:spacing w:before="260" w:after="90" w:line="276" w:lineRule="auto"/>
      </w:pPr>
      <w:r>
        <w:rPr>
          <w:b/>
          <w:sz w:val="28"/>
          <w:szCs w:val="28"/>
          <w:color w:val="E41E1B"/>
        </w:rPr>
        <w:t xml:space="preserve">Participantes</w:t>
      </w:r>
    </w:p>
    <w:p>
      <w:pPr>
        <w:spacing w:before="40" w:after="80" w:line="276" w:lineRule="auto"/>
      </w:pPr>
      <w:r>
        <w:rPr>
          <w:sz w:val="22"/>
          <w:szCs w:val="22"/>
        </w:rPr>
        <w:t xml:space="preserve">Podrán suscribirse todas las personas naturales con domicilio y/o residencia en el Estado Plurinacional de Bolivia (el “Territorio”), siempre que sean Usuarios de Foodix y cuenten con una tarjeta de crédito o débito habilitada en el Territorio (los “Usuarios Pro”).</w:t>
      </w:r>
    </w:p>
    <w:p>
      <w:pPr>
        <w:keepNext/>
        <w:spacing w:before="260" w:after="90" w:line="276" w:lineRule="auto"/>
      </w:pPr>
      <w:r>
        <w:rPr>
          <w:b/>
          <w:sz w:val="28"/>
          <w:szCs w:val="28"/>
          <w:color w:val="E41E1B"/>
        </w:rPr>
        <w:t xml:space="preserve">Vigencia y Territorio</w:t>
      </w:r>
    </w:p>
    <w:p>
      <w:pPr>
        <w:spacing w:before="40" w:after="80" w:line="276" w:lineRule="auto"/>
      </w:pPr>
      <w:r>
        <w:rPr>
          <w:sz w:val="22"/>
          <w:szCs w:val="22"/>
        </w:rPr>
        <w:t xml:space="preserve">El Servicio es parte del giro comercial habitual de Foodix, tiene carácter continuo y regular, y está disponible para cualquier Usuario que desee suscribirse. Estará disponible en las ciudades de Bolivia seleccionadas por Foodix donde opere su servicio de marketplace y logística (la “Ciudad Participante”). El Usuario deberá estar ubicado en una Ciudad Participante para tener activo Foodix Pro; las ciudades participantes se comunicarán al momento de la suscripción.</w:t>
      </w:r>
    </w:p>
    <w:p>
      <w:pPr>
        <w:keepNext/>
        <w:spacing w:before="260" w:after="90" w:line="276" w:lineRule="auto"/>
      </w:pPr>
      <w:r>
        <w:rPr>
          <w:b/>
          <w:sz w:val="28"/>
          <w:szCs w:val="28"/>
          <w:color w:val="E41E1B"/>
        </w:rPr>
        <w:t xml:space="preserve">Tarifa</w:t>
      </w:r>
    </w:p>
    <w:p>
      <w:pPr>
        <w:spacing w:before="40" w:after="80" w:line="276" w:lineRule="auto"/>
      </w:pPr>
      <w:r>
        <w:rPr>
          <w:sz w:val="22"/>
          <w:szCs w:val="22"/>
        </w:rPr>
        <w:t xml:space="preserve">Los Usuarios podrán suscribirse abonando el costo de suscripción mensual informado en el Portal (la “Tarifa”), por adelantado y mediante un Medio de Pago en Línea habilitado registrado en su perfil. Iniciado el pago, comenzará el Período de Suscripción de un mes calendario, y Foodix emitirá la factura correspondiente.</w:t>
      </w:r>
    </w:p>
    <w:p>
      <w:pPr>
        <w:spacing w:before="40" w:after="80" w:line="276" w:lineRule="auto"/>
      </w:pPr>
      <w:r>
        <w:rPr>
          <w:sz w:val="22"/>
          <w:szCs w:val="22"/>
        </w:rPr>
        <w:t xml:space="preserve">Vencido el plazo mensual, la suscripción se renovará automáticamente de modo mensual, autorizando el Usuario expresamente a Foodix a cobrar la Tarifa de los Medios de Pago registrados. Ante dos rechazos del cobro por el emisor del Medio de Pago, el Usuario autoriza a Foodix a cobrar la Tarifa en cualquiera de los Medios de Pago registrados. Si el cobro no se autoriza transcurridos 25 días corridos desde el vencimiento del período anterior, la renovación no se procesará y el Usuario no tendrá acceso al Servicio. En caso de no poder realizarse el cobro (vencimiento de tarjeta, fondos insuficientes u otros), la suscripción se cancelará automáticamente, informando la situación al Usuario.</w:t>
      </w:r>
    </w:p>
    <w:p>
      <w:pPr>
        <w:spacing w:before="40" w:after="80" w:line="276" w:lineRule="auto"/>
      </w:pPr>
      <w:r>
        <w:rPr>
          <w:sz w:val="22"/>
          <w:szCs w:val="22"/>
        </w:rPr>
        <w:t xml:space="preserve">El costo de suscripción se informa al momento de suscribirse; cualquier modificación se notificará con 30 días de antelación por correo electrónico. El Usuario Pro podrá dar de baja la suscripción sin costo y en cualquier momento.</w:t>
      </w:r>
    </w:p>
    <w:p>
      <w:pPr>
        <w:keepNext/>
        <w:spacing w:before="260" w:after="90" w:line="276" w:lineRule="auto"/>
      </w:pPr>
      <w:r>
        <w:rPr>
          <w:b/>
          <w:sz w:val="28"/>
          <w:szCs w:val="28"/>
          <w:color w:val="E41E1B"/>
        </w:rPr>
        <w:t xml:space="preserve">Servicios</w:t>
      </w:r>
    </w:p>
    <w:p>
      <w:pPr>
        <w:spacing w:before="40" w:after="80" w:line="276" w:lineRule="auto"/>
      </w:pPr>
      <w:r>
        <w:rPr>
          <w:sz w:val="22"/>
          <w:szCs w:val="22"/>
        </w:rPr>
        <w:t xml:space="preserve">Los Usuarios con suscripción Foodix Pro activa podrán acceder a los siguientes beneficios, en el tiempo y forma informados a través del Portal:</w:t>
      </w:r>
    </w:p>
    <w:p>
      <w:pPr>
        <w:keepNext/>
        <w:spacing w:before="140" w:after="30" w:line="276" w:lineRule="auto"/>
      </w:pPr>
      <w:r>
        <w:rPr>
          <w:b/>
          <w:sz w:val="23"/>
          <w:szCs w:val="23"/>
          <w:color w:val="262626"/>
        </w:rPr>
        <w:t xml:space="preserve">Costos de envío</w:t>
      </w:r>
    </w:p>
    <w:p>
      <w:pPr>
        <w:spacing w:before="40" w:after="80" w:line="276" w:lineRule="auto"/>
      </w:pPr>
      <w:r>
        <w:rPr>
          <w:sz w:val="22"/>
          <w:szCs w:val="22"/>
        </w:rPr>
        <w:t xml:space="preserve">Los Usuarios obtendrán envíos sin costo o con descuento sobre el Costo de Envío en determinados comercios adheridos cuya logística sea realizada únicamente por Foodix (los “Comercios Adheridos”), durante sus horarios de atención. Foodix informará cuáles son los Comercios Adheridos, usualmente identificados con la insignia de Foodix Pro. El Usuario podrá informarse al realizar el pedido si el beneficio consiste en envío sin costo o en descuento. Queda excluido el servicio de “Foodix Envíos” (courier) y los pedidos bajo modalidad de “retiro en local”.</w:t>
      </w:r>
    </w:p>
    <w:p>
      <w:pPr>
        <w:spacing w:before="40" w:after="80" w:line="276" w:lineRule="auto"/>
      </w:pPr>
      <w:r>
        <w:rPr>
          <w:sz w:val="22"/>
          <w:szCs w:val="22"/>
        </w:rPr>
        <w:t xml:space="preserve">Para acceder al beneficio, el Usuario Pro deberá: estar ubicado en una Ciudad Participante; pagar con un medio de pago en línea habilitado (se excluyen pagos en efectivo); y alcanzar el monto mínimo de pedido informado en el Portal (si es inferior, se cobrará el costo de envío). El beneficio se aplica automáticamente en el checkout cuando la orden cumple estas condiciones y cubre únicamente el Costo de Envío, no otros cargos o tarifas.</w:t>
      </w:r>
    </w:p>
    <w:p>
      <w:pPr>
        <w:keepNext/>
        <w:spacing w:before="140" w:after="30" w:line="276" w:lineRule="auto"/>
      </w:pPr>
      <w:r>
        <w:rPr>
          <w:b/>
          <w:sz w:val="23"/>
          <w:szCs w:val="23"/>
          <w:color w:val="262626"/>
        </w:rPr>
        <w:t xml:space="preserve">Precios especiales</w:t>
      </w:r>
    </w:p>
    <w:p>
      <w:pPr>
        <w:spacing w:before="40" w:after="80" w:line="276" w:lineRule="auto"/>
      </w:pPr>
      <w:r>
        <w:rPr>
          <w:sz w:val="22"/>
          <w:szCs w:val="22"/>
        </w:rPr>
        <w:t xml:space="preserve">Foodix podrá poner a disposición de los Usuarios Pro ciertos precios especiales y/o descuentos ofrecidos por los Comercios Adheridos, regidos por las bases de cada oferta y por estos T&amp;C, comunicados oportunamente al Usuario.</w:t>
      </w:r>
    </w:p>
    <w:p>
      <w:pPr>
        <w:keepNext/>
        <w:spacing w:before="260" w:after="90" w:line="276" w:lineRule="auto"/>
      </w:pPr>
      <w:r>
        <w:rPr>
          <w:b/>
          <w:sz w:val="28"/>
          <w:szCs w:val="28"/>
          <w:color w:val="E41E1B"/>
        </w:rPr>
        <w:t xml:space="preserve">Requisitos esenciales</w:t>
      </w:r>
    </w:p>
    <w:p>
      <w:pPr>
        <w:spacing w:before="40" w:after="80" w:line="276" w:lineRule="auto"/>
      </w:pPr>
      <w:r>
        <w:rPr>
          <w:sz w:val="22"/>
          <w:szCs w:val="22"/>
        </w:rPr>
        <w:t xml:space="preserve">Para ser Usuario Pro debe estar previamente suscrito como Usuario de Foodix y tener una cuenta vigente y activa. Los beneficios se prestan mientras el Usuario mantenga esa condición.</w:t>
      </w:r>
    </w:p>
    <w:p>
      <w:pPr>
        <w:keepNext/>
        <w:spacing w:before="260" w:after="90" w:line="276" w:lineRule="auto"/>
      </w:pPr>
      <w:r>
        <w:rPr>
          <w:b/>
          <w:sz w:val="28"/>
          <w:szCs w:val="28"/>
          <w:color w:val="E41E1B"/>
        </w:rPr>
        <w:t xml:space="preserve">Baja de la suscripción</w:t>
      </w:r>
    </w:p>
    <w:p>
      <w:pPr>
        <w:spacing w:before="40" w:after="80" w:line="276" w:lineRule="auto"/>
      </w:pPr>
      <w:r>
        <w:rPr>
          <w:sz w:val="22"/>
          <w:szCs w:val="22"/>
        </w:rPr>
        <w:t xml:space="preserve">La suscripción mensual podrá darse de baja en cualquier momento y sin cargo, mediante el botón de cancelación dentro del apartado de Foodix Pro en el Portal. El Usuario gozará del Servicio por los días restantes del Período de Suscripción, sin reintegro ni devolución. La cancelación puede tardar hasta 72 horas hábiles.</w:t>
      </w:r>
    </w:p>
    <w:p>
      <w:pPr>
        <w:spacing w:before="40" w:after="80" w:line="276" w:lineRule="auto"/>
      </w:pPr>
      <w:r>
        <w:rPr>
          <w:sz w:val="22"/>
          <w:szCs w:val="22"/>
        </w:rPr>
        <w:t xml:space="preserve">Foodix podrá suspender o dar de baja el Servicio: (i) si detecta uso indebido mediante actos u omisiones fraudulentas; o (ii) por prohibición o limitación de autoridad competente. Estos casos no generan derecho a reclamo ni obligación de reembolso.</w:t>
      </w:r>
    </w:p>
    <w:p>
      <w:pPr>
        <w:keepNext/>
        <w:spacing w:before="260" w:after="90" w:line="276" w:lineRule="auto"/>
      </w:pPr>
      <w:r>
        <w:rPr>
          <w:b/>
          <w:sz w:val="28"/>
          <w:szCs w:val="28"/>
          <w:color w:val="E41E1B"/>
        </w:rPr>
        <w:t xml:space="preserve">Responsabilidad</w:t>
      </w:r>
    </w:p>
    <w:p>
      <w:pPr>
        <w:spacing w:before="40" w:after="80" w:line="276" w:lineRule="auto"/>
      </w:pPr>
      <w:r>
        <w:rPr>
          <w:sz w:val="22"/>
          <w:szCs w:val="22"/>
        </w:rPr>
        <w:t xml:space="preserve">La participación y permanencia en el Servicio es intransferible. Foodix se reserva el derecho de admisión, participación y permanencia, pudiendo dar de baja, anular o descalificar a los Usuarios que actúen de manera contraria a estos T&amp;C o intenten conductas fraudulentas respecto del Portal o de Foodix Pro.</w:t>
      </w:r>
    </w:p>
    <w:p>
      <w:pPr>
        <w:keepNext/>
        <w:spacing w:before="260" w:after="90" w:line="276" w:lineRule="auto"/>
      </w:pPr>
      <w:r>
        <w:rPr>
          <w:b/>
          <w:sz w:val="28"/>
          <w:szCs w:val="28"/>
          <w:color w:val="E41E1B"/>
        </w:rPr>
        <w:t xml:space="preserve">Caso fortuito, fuerza mayor e imposibilidad sobrevenida</w:t>
      </w:r>
    </w:p>
    <w:p>
      <w:pPr>
        <w:spacing w:before="40" w:after="80" w:line="276" w:lineRule="auto"/>
      </w:pPr>
      <w:r>
        <w:rPr>
          <w:sz w:val="22"/>
          <w:szCs w:val="22"/>
        </w:rPr>
        <w:t xml:space="preserve">Ante un hecho de caso fortuito, fuerza mayor o imposibilidad sobrevenida, los derechos y obligaciones del Servicio serán suspendidos mientras persistan dichas causas, sin que Foodix sea responsable por la no ejecución o el cumplimiento parcial, tardío o defectuoso motivado por ellas. Se entiende por tales a la acción del hombre o de la naturaleza que no haya podido preverse o que, prevista, no haya podido evitarse, incluyendo huelgas, bloqueos, cuarentenas declaradas por autoridad competente y conmoción civil.</w:t>
      </w:r>
    </w:p>
    <w:p>
      <w:pPr>
        <w:keepNext/>
        <w:spacing w:before="260" w:after="90" w:line="276" w:lineRule="auto"/>
      </w:pPr>
      <w:r>
        <w:rPr>
          <w:b/>
          <w:sz w:val="28"/>
          <w:szCs w:val="28"/>
          <w:color w:val="E41E1B"/>
        </w:rPr>
        <w:t xml:space="preserve">Varios</w:t>
      </w:r>
    </w:p>
    <w:p>
      <w:pPr>
        <w:spacing w:before="40" w:after="80" w:line="276" w:lineRule="auto"/>
      </w:pPr>
      <w:r>
        <w:rPr>
          <w:sz w:val="22"/>
          <w:szCs w:val="22"/>
        </w:rPr>
        <w:t xml:space="preserve">Los títulos y encabezados sirven solo de referencia. Foodix se reserva el derecho de modificar el Portal, las políticas y/o los T&amp;C en cualquier momento. Si alguna condición resultara inválida o inaplicable, se considerará separable y no afectará la validez de las demás. Las disposiciones adicionales que Foodix establezca aplicarán a futuro, a partir de su vigencia en el siguiente Período de Suscripción o según se comunique al Usuario.</w:t>
      </w:r>
    </w:p>
    <w:p>
      <w:pPr>
        <w:keepNext/>
        <w:spacing w:before="260" w:after="90" w:line="276" w:lineRule="auto"/>
      </w:pPr>
      <w:r>
        <w:rPr>
          <w:b/>
          <w:sz w:val="28"/>
          <w:szCs w:val="28"/>
          <w:color w:val="E41E1B"/>
        </w:rPr>
        <w:t xml:space="preserve">Ley aplicable y jurisdicción</w:t>
      </w:r>
    </w:p>
    <w:p>
      <w:pPr>
        <w:spacing w:before="40" w:after="80" w:line="276" w:lineRule="auto"/>
      </w:pPr>
      <w:r>
        <w:rPr>
          <w:sz w:val="22"/>
          <w:szCs w:val="22"/>
        </w:rPr>
        <w:t xml:space="preserve">Estos T&amp;C se rigen por las leyes del Estado Plurinacional de Bolivia. Cualquier controversia será resuelta mediante arbitraje institucional en derecho, administrado por el Centro de Conciliación y Arbitraje Comercial de la Cámara de Industria, Comercio, Servicios y Turismo de Santa Cruz (CAINCO), con tres (3) árbitros, en idioma castellano y con sede en Santa Cruz de la Sierra, conforme a la Ley N° 708 y al Reglamento de Arbitraje del Centro.</w:t>
      </w:r>
    </w:p>
    <w:sectPr>
      <w:pgSz w:w="11906" w:h="16838"/>
      <w:pgMar w:top="1440" w:right="1440" w:bottom="1440" w:left="1440"/>
    </w:sectPr>
  </w:body>
</w:document>
</file>