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40" w:line="276" w:lineRule="auto"/>
      </w:pPr>
      <w:r>
        <w:rPr>
          <w:b/>
          <w:sz w:val="40"/>
          <w:szCs w:val="40"/>
          <w:color w:val="262626"/>
        </w:rPr>
        <w:t xml:space="preserve">Foodix Pagos (Billetera) — Términos y Condiciones</w:t>
      </w:r>
    </w:p>
    <w:p>
      <w:pPr>
        <w:spacing w:before="0" w:after="20" w:line="276" w:lineRule="auto"/>
      </w:pPr>
      <w:r>
        <w:rPr>
          <w:i/>
          <w:sz w:val="18"/>
          <w:szCs w:val="18"/>
          <w:color w:val="777777"/>
        </w:rPr>
        <w:t xml:space="preserve">Foodix — AXE CAP S.R.L., NIT 672975027, con domicilio en Av. San Martín S/N, Edificio Manzana 40, Torre 2, Piso 10, Oficina 9, Santa Cruz de la Sierra, Bolivia</w:t>
      </w:r>
    </w:p>
    <w:p>
      <w:pPr>
        <w:spacing w:before="0" w:after="60" w:line="276" w:lineRule="auto"/>
      </w:pPr>
      <w:r>
        <w:rPr>
          <w:i/>
          <w:sz w:val="18"/>
          <w:szCs w:val="18"/>
          <w:color w:val="777777"/>
        </w:rPr>
        <w:t xml:space="preserve">Última actualización: 10 de julio de 2026</w:t>
      </w:r>
    </w:p>
    <w:p>
      <w:pPr>
        <w:shd w:val="clear" w:color="auto" w:fill="FBF3DE"/>
        <w:spacing w:before="20" w:after="120" w:line="276" w:lineRule="auto"/>
      </w:pPr>
      <w:r>
        <w:rPr>
          <w:b/>
          <w:sz w:val="18"/>
          <w:szCs w:val="18"/>
          <w:color w:val="C0870A"/>
        </w:rPr>
        <w:t xml:space="preserve">NOTA: </w:t>
      </w:r>
      <w:r>
        <w:rPr>
          <w:i/>
          <w:sz w:val="18"/>
          <w:szCs w:val="18"/>
          <w:color w:val="555555"/>
        </w:rPr>
        <w:t xml:space="preserve">Versión inicial. Confirmar correo oficial. Se recomienda revisión por asesoría legal.</w:t>
      </w:r>
    </w:p>
    <w:p>
      <w:pPr>
        <w:keepNext/>
        <w:spacing w:before="260" w:after="90" w:line="276" w:lineRule="auto"/>
      </w:pPr>
      <w:r>
        <w:rPr>
          <w:b/>
          <w:sz w:val="28"/>
          <w:szCs w:val="28"/>
          <w:color w:val="E41E1B"/>
        </w:rPr>
        <w:t xml:space="preserve">Acerca de estos Términos y Condiciones</w:t>
      </w:r>
    </w:p>
    <w:p>
      <w:pPr>
        <w:spacing w:before="40" w:after="80" w:line="276" w:lineRule="auto"/>
      </w:pPr>
      <w:r>
        <w:rPr>
          <w:sz w:val="22"/>
          <w:szCs w:val="22"/>
        </w:rPr>
        <w:t xml:space="preserve">Estos términos y condiciones aplicables a “Foodix Pagos” (la Billetera Foodix) son complementarios y se consideran incorporados a los Términos y Condiciones Generales que rigen el uso del Portal y la cuenta de los Usuarios de Foodix. Los términos en mayúsculas no definidos aquí tendrán el significado de los Términos y Condiciones Generales.</w:t>
      </w:r>
    </w:p>
    <w:p>
      <w:pPr>
        <w:spacing w:before="40" w:after="80" w:line="276" w:lineRule="auto"/>
      </w:pPr>
      <w:r>
        <w:rPr>
          <w:sz w:val="22"/>
          <w:szCs w:val="22"/>
        </w:rPr>
        <w:t xml:space="preserve">Ante dudas sobre estos Términos y Condiciones o el Saldo, puede comunicarse por correo a contacto@foodix.com.bo.</w:t>
      </w:r>
    </w:p>
    <w:p>
      <w:pPr>
        <w:shd w:val="clear" w:color="auto" w:fill="F5EFE0"/>
        <w:spacing w:before="80" w:after="80" w:line="276" w:lineRule="auto"/>
      </w:pPr>
      <w:r>
        <w:rPr>
          <w:b/>
          <w:sz w:val="20"/>
          <w:szCs w:val="20"/>
        </w:rPr>
        <w:t xml:space="preserve">Cualquier Usuario que no acepte estos Términos y Condiciones deberá abstenerse de utilizar Foodix Pagos. El uso de Foodix Pagos o su Saldo supondrá la aceptación de los presentes Términos y Condiciones.</w:t>
      </w:r>
    </w:p>
    <w:p>
      <w:pPr>
        <w:keepNext/>
        <w:spacing w:before="260" w:after="90" w:line="276" w:lineRule="auto"/>
      </w:pPr>
      <w:r>
        <w:rPr>
          <w:b/>
          <w:sz w:val="28"/>
          <w:szCs w:val="28"/>
          <w:color w:val="E41E1B"/>
        </w:rPr>
        <w:t xml:space="preserve">¿Qué es Foodix Pagos?</w:t>
      </w:r>
    </w:p>
    <w:p>
      <w:pPr>
        <w:spacing w:before="40" w:after="80" w:line="276" w:lineRule="auto"/>
      </w:pPr>
      <w:r>
        <w:rPr>
          <w:sz w:val="22"/>
          <w:szCs w:val="22"/>
        </w:rPr>
        <w:t xml:space="preserve">Foodix Pagos es una función que le permite al Usuario acumular su Saldo y utilizarlo para el pago de Pedidos y/o Servicios dentro de la Aplicación de Foodix. Podrá: mostrar como “saldo” (a) el saldo acreditado mediante acciones promocionales de Foodix, conforme a sus condiciones particulares; y (b) el saldo por indemnizaciones, reembolsos u otros conceptos que Foodix determine (el “Saldo”); y utilizar el Saldo para el pago de sus Pedidos.</w:t>
      </w:r>
    </w:p>
    <w:p>
      <w:pPr>
        <w:keepNext/>
        <w:spacing w:before="260" w:after="90" w:line="276" w:lineRule="auto"/>
      </w:pPr>
      <w:r>
        <w:rPr>
          <w:b/>
          <w:sz w:val="28"/>
          <w:szCs w:val="28"/>
          <w:color w:val="E41E1B"/>
        </w:rPr>
        <w:t xml:space="preserve">Capacidad</w:t>
      </w:r>
    </w:p>
    <w:p>
      <w:pPr>
        <w:spacing w:before="40" w:after="80" w:line="276" w:lineRule="auto"/>
      </w:pPr>
      <w:r>
        <w:rPr>
          <w:sz w:val="22"/>
          <w:szCs w:val="22"/>
        </w:rPr>
        <w:t xml:space="preserve">Solo podrán aceptar estos Términos y Condiciones las personas con capacidad legal para contratar y debidamente registradas como Usuarios en Foodix. No podrán utilizar los Servicios quienes carezcan de capacidad o los Usuarios suspendidos o inhabilitados por Foodix.</w:t>
      </w:r>
    </w:p>
    <w:p>
      <w:pPr>
        <w:keepNext/>
        <w:spacing w:before="260" w:after="90" w:line="276" w:lineRule="auto"/>
      </w:pPr>
      <w:r>
        <w:rPr>
          <w:b/>
          <w:sz w:val="28"/>
          <w:szCs w:val="28"/>
          <w:color w:val="E41E1B"/>
        </w:rPr>
        <w:t xml:space="preserve">Registro</w:t>
      </w:r>
    </w:p>
    <w:p>
      <w:pPr>
        <w:spacing w:before="40" w:after="80" w:line="276" w:lineRule="auto"/>
      </w:pPr>
      <w:r>
        <w:rPr>
          <w:sz w:val="22"/>
          <w:szCs w:val="22"/>
        </w:rPr>
        <w:t xml:space="preserve">Foodix podrá requerir al Usuario que desee utilizar Foodix Pagos completar el registro y aceptar estos Términos y Condiciones, aportando datos válidos, exactos, actualizados y verdaderos (los “Datos Personales”), que tienen carácter de declaración jurada. Foodix no se responsabiliza por la certeza de los Datos Personales y podrá solicitar comprobantes o información adicional, así como suspender a los Usuarios cuyos datos no puedan confirmarse.</w:t>
      </w:r>
    </w:p>
    <w:p>
      <w:pPr>
        <w:spacing w:before="40" w:after="80" w:line="276" w:lineRule="auto"/>
      </w:pPr>
      <w:r>
        <w:rPr>
          <w:sz w:val="22"/>
          <w:szCs w:val="22"/>
        </w:rPr>
        <w:t xml:space="preserve">A fin de cumplir la regulación en materia de prevención de lavado de dinero y financiamiento del terrorismo (“PLD/FT”) y sus políticas internas, Foodix podrá solicitar información y/o documentación con fines identificatorios y de monitoreo, y su actualización periódica. Foodix se reserva el derecho de rechazar, cancelar o suspender la Billetera ante incongruencias en la información, actividades inusuales o sospechosas en materia de PLD/FT o fraude, o falta de actualización de la información requerida, sin generar derecho a indemnización.</w:t>
      </w:r>
    </w:p>
    <w:p>
      <w:pPr>
        <w:keepNext/>
        <w:spacing w:before="260" w:after="90" w:line="276" w:lineRule="auto"/>
      </w:pPr>
      <w:r>
        <w:rPr>
          <w:b/>
          <w:sz w:val="28"/>
          <w:szCs w:val="28"/>
          <w:color w:val="E41E1B"/>
        </w:rPr>
        <w:t xml:space="preserve">Acreditación de Saldo</w:t>
      </w:r>
    </w:p>
    <w:p>
      <w:pPr>
        <w:keepNext/>
        <w:spacing w:before="140" w:after="30" w:line="276" w:lineRule="auto"/>
      </w:pPr>
      <w:r>
        <w:rPr>
          <w:b/>
          <w:sz w:val="23"/>
          <w:szCs w:val="23"/>
          <w:color w:val="262626"/>
        </w:rPr>
        <w:t xml:space="preserve">Acciones promocionales</w:t>
      </w:r>
    </w:p>
    <w:p>
      <w:pPr>
        <w:spacing w:before="40" w:after="80" w:line="276" w:lineRule="auto"/>
      </w:pPr>
      <w:r>
        <w:rPr>
          <w:sz w:val="22"/>
          <w:szCs w:val="22"/>
        </w:rPr>
        <w:t xml:space="preserve">Foodix, a su criterio, podrá realizar acciones promocionales generales o segmentadas otorgando Saldo a los Usuarios que posean la Billetera. Las condiciones particulares (cantidades, vigencia y uso) serán comunicadas en cada oportunidad.</w:t>
      </w:r>
    </w:p>
    <w:p>
      <w:pPr>
        <w:keepNext/>
        <w:spacing w:before="140" w:after="30" w:line="276" w:lineRule="auto"/>
      </w:pPr>
      <w:r>
        <w:rPr>
          <w:b/>
          <w:sz w:val="23"/>
          <w:szCs w:val="23"/>
          <w:color w:val="262626"/>
        </w:rPr>
        <w:t xml:space="preserve">Indemnizaciones y reembolsos</w:t>
      </w:r>
    </w:p>
    <w:p>
      <w:pPr>
        <w:spacing w:before="40" w:after="80" w:line="276" w:lineRule="auto"/>
      </w:pPr>
      <w:r>
        <w:rPr>
          <w:sz w:val="22"/>
          <w:szCs w:val="22"/>
        </w:rPr>
        <w:t xml:space="preserve">En caso de corresponder una indemnización y/o reembolso, Foodix podrá acreditar Saldo en la Billetera, el cual permanecerá por un tiempo limitado y podrá usarse para el pago de un Pedido. En pagos realizados mediante QR, los reembolsos se efectuarán exclusivamente en la Billetera asociada a la cuenta del Usuario. Foodix podrá reembolsar en la Billetera pedidos fallidos y/o cancelados, y realizar devoluciones parciales por faltantes u otras diferencias. Los fondos acreditados por devoluciones solo podrán usarse dentro de la Aplicación para nuevos Pedidos; no podrán transferirse a otras cuentas ni retirarse en efectivo.</w:t>
      </w:r>
    </w:p>
    <w:p>
      <w:pPr>
        <w:keepNext/>
        <w:spacing w:before="260" w:after="90" w:line="276" w:lineRule="auto"/>
      </w:pPr>
      <w:r>
        <w:rPr>
          <w:b/>
          <w:sz w:val="28"/>
          <w:szCs w:val="28"/>
          <w:color w:val="E41E1B"/>
        </w:rPr>
        <w:t xml:space="preserve">Uso del Saldo</w:t>
      </w:r>
    </w:p>
    <w:p>
      <w:pPr>
        <w:spacing w:before="40" w:after="80" w:line="276" w:lineRule="auto"/>
      </w:pPr>
      <w:r>
        <w:rPr>
          <w:sz w:val="22"/>
          <w:szCs w:val="22"/>
        </w:rPr>
        <w:t xml:space="preserve">El Saldo podrá utilizarse para el pago de Pedidos en los Oferentes de Foodix. Si el valor del Pedido (incluidos envío e impuestos) supera el Saldo disponible, este se utilizará en su totalidad y el resto se cargará al medio de pago en línea elegido por el Usuario; no podrá usarse Saldo para Pedidos de mayor valor sin un medio de pago electrónico asociado. Si el valor del Pedido es inferior al Saldo, solo se deducirá el valor del Pedido y el Saldo restante permanecerá en la Billetera.</w:t>
      </w:r>
    </w:p>
    <w:p>
      <w:pPr>
        <w:keepNext/>
        <w:spacing w:before="260" w:after="90" w:line="276" w:lineRule="auto"/>
      </w:pPr>
      <w:r>
        <w:rPr>
          <w:b/>
          <w:sz w:val="28"/>
          <w:szCs w:val="28"/>
          <w:color w:val="E41E1B"/>
        </w:rPr>
        <w:t xml:space="preserve">Limitaciones de uso e incumplimiento</w:t>
      </w:r>
    </w:p>
    <w:p>
      <w:pPr>
        <w:spacing w:before="40" w:after="80" w:line="276" w:lineRule="auto"/>
      </w:pPr>
      <w:r>
        <w:rPr>
          <w:sz w:val="22"/>
          <w:szCs w:val="22"/>
        </w:rPr>
        <w:t xml:space="preserve">El Saldo no puede utilizarse de forma contraria a estos Términos y Condiciones ni de forma dañina para otros Usuarios. A modo enunciativo, no podrá usarse: fuera de su uso previsto dentro de la Aplicación como instrumento de pago genérico; como contraprestación de un contrato con un tercero; para reventa o fines comerciales; ni para propósitos ilegales o no autorizados. El Usuario no podrá canjear el Saldo por dinero en efectivo, cheques, monedas virtuales, crédito en cuentas bancarias, billeteras o tarjetas, ni transferirlo a otra cuenta. El uso del Saldo podrá estar limitado a ciertos Oferentes. El incumplimiento podrá dar lugar a la terminación, suspensión o cancelación de la cuenta y del acceso al Saldo.</w:t>
      </w:r>
    </w:p>
    <w:p>
      <w:pPr>
        <w:keepNext/>
        <w:spacing w:before="260" w:after="90" w:line="276" w:lineRule="auto"/>
      </w:pPr>
      <w:r>
        <w:rPr>
          <w:b/>
          <w:sz w:val="28"/>
          <w:szCs w:val="28"/>
          <w:color w:val="E41E1B"/>
        </w:rPr>
        <w:t xml:space="preserve">Varios</w:t>
      </w:r>
    </w:p>
    <w:p>
      <w:pPr>
        <w:spacing w:before="40" w:after="80" w:line="276" w:lineRule="auto"/>
      </w:pPr>
      <w:r>
        <w:rPr>
          <w:sz w:val="22"/>
          <w:szCs w:val="22"/>
        </w:rPr>
        <w:t xml:space="preserve">Todos los reembolsos, una vez emitidos, son definitivos. El Saldo podrá o no tener plazo de vigencia; de tenerlo, su falta de uso durante el mismo no otorga derecho a reclamar su reacreditación. Foodix se reserva el derecho de modificar, actualizar o cancelar estos Términos y Condiciones en cualquier momento, notificando al Usuario por correo y/o a través de la Aplicación. Todos los reembolsos, la emisión y el uso del Saldo están sujetos a los Términos y Condiciones Generales.</w:t>
      </w:r>
    </w:p>
    <w:p>
      <w:pPr>
        <w:keepNext/>
        <w:spacing w:before="260" w:after="90" w:line="276" w:lineRule="auto"/>
      </w:pPr>
      <w:r>
        <w:rPr>
          <w:b/>
          <w:sz w:val="28"/>
          <w:szCs w:val="28"/>
          <w:color w:val="E41E1B"/>
        </w:rPr>
        <w:t xml:space="preserve">Operaciones, incumplimientos y obligaciones</w:t>
      </w:r>
    </w:p>
    <w:p>
      <w:pPr>
        <w:spacing w:before="40" w:after="80" w:line="276" w:lineRule="auto"/>
      </w:pPr>
      <w:r>
        <w:rPr>
          <w:sz w:val="22"/>
          <w:szCs w:val="22"/>
        </w:rPr>
        <w:t xml:space="preserve">Todas las operaciones se registrarán en la fecha y horario en que efectivamente se cursen. Foodix Pagos solo podrá utilizarse con fines lícitos; se prohíbe, entre otros: suministrar información fraudulenta o falsa; negarse a proporcionar información requerida; impedir el funcionamiento de la Billetera; compartir claves con terceros; usar mecanismos automatizados no autorizados; intentar obtener el código fuente; contravenir disposiciones del Banco Central de Bolivia u otros organismos; y cometer delitos o daños de cualquier tipo. El Usuario solo podrá utilizar la Billetera para sí mismo, no para que terceros efectúen transacciones. Cada Usuario será responsable por sus obligaciones fiscales derivadas de sus operaciones, sin responsabilidad para Foodix.</w:t>
      </w:r>
    </w:p>
    <w:p>
      <w:pPr>
        <w:keepNext/>
        <w:spacing w:before="260" w:after="90" w:line="276" w:lineRule="auto"/>
      </w:pPr>
      <w:r>
        <w:rPr>
          <w:b/>
          <w:sz w:val="28"/>
          <w:szCs w:val="28"/>
          <w:color w:val="E41E1B"/>
        </w:rPr>
        <w:t xml:space="preserve">Fallas, propiedad intelectual y modificaciones</w:t>
      </w:r>
    </w:p>
    <w:p>
      <w:pPr>
        <w:spacing w:before="40" w:after="80" w:line="276" w:lineRule="auto"/>
      </w:pPr>
      <w:r>
        <w:rPr>
          <w:sz w:val="22"/>
          <w:szCs w:val="22"/>
        </w:rPr>
        <w:t xml:space="preserve">Foodix no se responsabiliza por daños causados por fallas en servidores o dispositivos, ni por virus, ni garantiza el acceso ininterrumpido al sistema. Los contenidos, programas, bases de datos y archivos de la Billetera son propiedad exclusiva de Foodix y están protegidos por las leyes de propiedad intelectual; su reproducción total o parcial queda prohibida salvo autorización. Foodix podrá actualizar, modificar, restringir o suprimir los Servicios de la Billetera en forma temporal o definitiva.</w:t>
      </w:r>
    </w:p>
    <w:p>
      <w:pPr>
        <w:keepNext/>
        <w:spacing w:before="260" w:after="90" w:line="276" w:lineRule="auto"/>
      </w:pPr>
      <w:r>
        <w:rPr>
          <w:b/>
          <w:sz w:val="28"/>
          <w:szCs w:val="28"/>
          <w:color w:val="E41E1B"/>
        </w:rPr>
        <w:t xml:space="preserve">Indemnidad y responsabilidades</w:t>
      </w:r>
    </w:p>
    <w:p>
      <w:pPr>
        <w:spacing w:before="40" w:after="80" w:line="276" w:lineRule="auto"/>
      </w:pPr>
      <w:r>
        <w:rPr>
          <w:sz w:val="22"/>
          <w:szCs w:val="22"/>
        </w:rPr>
        <w:t xml:space="preserve">El Usuario acepta mantener indemne a Foodix, sus sociedades vinculadas, directivos, empleados y representantes frente a cualquier reclamo derivado del uso indebido de la Billetera o de la infracción de estos Términos y Condiciones, corriendo por su cuenta los gastos legales correspondientes.</w:t>
      </w:r>
    </w:p>
    <w:p>
      <w:pPr>
        <w:shd w:val="clear" w:color="auto" w:fill="F5EFE0"/>
        <w:spacing w:before="80" w:after="80" w:line="276" w:lineRule="auto"/>
      </w:pPr>
      <w:r>
        <w:rPr>
          <w:b/>
          <w:sz w:val="20"/>
          <w:szCs w:val="20"/>
        </w:rPr>
        <w:t xml:space="preserve">El Usuario declara que el uso de Foodix Pagos se efectúa bajo su exclusiva responsabilidad. Foodix no asume responsabilidad por el funcionamiento del dispositivo o software del Usuario, ni por servicios de terceros (acceso a Internet, telefonía, etc.). En ningún caso Foodix será responsable por daños directos o indirectos, lucro cesante o pérdida de chance resultantes del uso o la imposibilidad de uso de la Aplicación, los Servicios o los Contenidos.</w:t>
      </w:r>
    </w:p>
    <w:p>
      <w:pPr>
        <w:keepNext/>
        <w:spacing w:before="260" w:after="90" w:line="276" w:lineRule="auto"/>
      </w:pPr>
      <w:r>
        <w:rPr>
          <w:b/>
          <w:sz w:val="28"/>
          <w:szCs w:val="28"/>
          <w:color w:val="E41E1B"/>
        </w:rPr>
        <w:t xml:space="preserve">Cesión y ley aplicable</w:t>
      </w:r>
    </w:p>
    <w:p>
      <w:pPr>
        <w:spacing w:before="40" w:after="80" w:line="276" w:lineRule="auto"/>
      </w:pPr>
      <w:r>
        <w:rPr>
          <w:sz w:val="22"/>
          <w:szCs w:val="22"/>
        </w:rPr>
        <w:t xml:space="preserve">El Usuario acepta no ceder sus derechos u obligaciones y no realizar uso comercial de la Aplicación. Estos Términos y Condiciones se rigen por las leyes del Estado Plurinacional de Bolivia. Cualquier controversia será resuelta mediante arbitraje institucional en derecho, administrado por el Centro de Conciliación y Arbitraje Comercial de la Cámara de Industria, Comercio, Servicios y Turismo de Santa Cruz (CAINCO), con tres (3) árbitros, en idioma castellano y con sede en Santa Cruz de la Sierra, conforme a la Ley N° 708 y al Reglamento de Arbitraje del Centro.</w:t>
      </w:r>
    </w:p>
    <w:sectPr>
      <w:pgSz w:w="11906" w:h="16838"/>
      <w:pgMar w:top="1440" w:right="1440" w:bottom="1440" w:left="1440"/>
    </w:sectPr>
  </w:body>
</w:document>
</file>