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120" w:line="240" w:lineRule="auto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7159EB08" wp14:editId="22612DC7">
                <wp:simplePos x="0" y="0"/>
                <wp:positionH relativeFrom="margin">
                  <wp:posOffset>-131445</wp:posOffset>
                </wp:positionH>
                <wp:positionV relativeFrom="paragraph">
                  <wp:posOffset>44</wp:posOffset>
                </wp:positionV>
                <wp:extent cx="10067925" cy="1404620"/>
                <wp:effectExtent l="0" t="0" r="9525" b="0"/>
                <wp:wrapTight wrapText="bothSides">
                  <wp:wrapPolygon edited="0">
                    <wp:start x="0" y="0"/>
                    <wp:lineTo x="0" y="20779"/>
                    <wp:lineTo x="21580" y="20779"/>
                    <wp:lineTo x="21580" y="0"/>
                    <wp:lineTo x="0" y="0"/>
                  </wp:wrapPolygon>
                </wp:wrapTight>
                <wp:docPr id="1995518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679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461525" w14:textId="30AC0EBC" w:rsidR="000A3F0E" w:rsidRDefault="000A3F0E" w:rsidP="006625D9">
                            <w:pPr>
                              <w:pStyle w:val="Heading1"/>
                            </w:pPr>
                            <w:r>
                              <w:t>Question 3</w:t>
                            </w:r>
                          </w:p>
                          <w:p w14:paraId="50A5FC3D" w14:textId="77777777" w:rsidR="000A3F0E" w:rsidRPr="0048564C" w:rsidRDefault="000A3F0E" w:rsidP="000A3F0E">
                            <w:pPr>
                              <w:pStyle w:val="Head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Inclusive Approach to Software Engineering: a critical evaluation of the class padlet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59EB08" id="_x0000_s1034" type="#_x0000_t202" style="position:absolute;left:0;text-align:left;margin-left:-10.35pt;margin-top:0;width:792.75pt;height:110.6pt;z-index:-251645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" stroked="f">
                <v:textbox style="mso-fit-shape-to-text:t">
                  <w:txbxContent>
                    <w:p w14:paraId="39461525" w14:textId="30AC0EBC" w:rsidR="000A3F0E" w:rsidRDefault="000A3F0E" w:rsidP="006625D9">
                      <w:pPr>
                        <w:pStyle w:val="Heading1"/>
                      </w:pPr>
                      <w:r>
                        <w:t>Question 3</w:t>
                      </w:r>
                    </w:p>
                    <w:p w14:paraId="50A5FC3D" w14:textId="77777777" w:rsidR="000A3F0E" w:rsidRPr="0048564C" w:rsidRDefault="000A3F0E" w:rsidP="000A3F0E">
                      <w:pPr>
                        <w:pStyle w:val="Head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Inclusive Approach to Software Engineering: a critical evaluation of the class padlet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901" behindDoc="0" locked="0" layoutInCell="1" allowOverlap="1">
                <wp:simplePos x="0" y="0"/>
                <wp:positionH relativeFrom="margin">
                  <wp:posOffset>3443605</wp:posOffset>
                </wp:positionH>
                <wp:positionV relativeFrom="margin">
                  <wp:posOffset>600000</wp:posOffset>
                </wp:positionV>
                <wp:extent cx="6527165" cy="3300000"/>
                <wp:effectExtent l="0" t="0" r="0" b="0"/>
                <wp:wrapSquare wrapText="bothSides"/>
                <wp:docPr id="901" name="Figure 1 9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7165" cy="330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sz w:val="20"/>
                                <w:szCs w:val="20"/>
                                <w:highlight w:val="yellow"/>
                              </w:rPr>
                              <w:t xml:space="preserve">[INSERT FIGURE 1 HERE: the mind map Copilot produced from the 45 padlet posts, after you have checked and corrected it. Delete this box text and paste the image (Insert &gt; Picture), sized to fill this box]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902" behindDoc="0" locked="0" layoutInCell="1" allowOverlap="1">
                <wp:simplePos x="0" y="0"/>
                <wp:positionH relativeFrom="margin">
                  <wp:posOffset>3443605</wp:posOffset>
                </wp:positionH>
                <wp:positionV relativeFrom="margin">
                  <wp:posOffset>3920000</wp:posOffset>
                </wp:positionV>
                <wp:extent cx="6527165" cy="300000"/>
                <wp:effectExtent l="0" t="0" r="0" b="0"/>
                <wp:wrapSquare wrapText="bothSides"/>
                <wp:docPr id="902" name="Caption 9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7165" cy="30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Figure 1: </w:t>
                            </w: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Copilot-generated mind map of the 45 padlet posts [1], checked and corrected by us [5].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903" behindDoc="0" locked="0" layoutInCell="1" allowOverlap="1">
                <wp:simplePos x="0" y="0"/>
                <wp:positionH relativeFrom="margin">
                  <wp:posOffset>3443605</wp:posOffset>
                </wp:positionH>
                <wp:positionV relativeFrom="margin">
                  <wp:posOffset>4300000</wp:posOffset>
                </wp:positionV>
                <wp:extent cx="3083560" cy="900000"/>
                <wp:effectExtent l="0" t="0" r="0" b="0"/>
                <wp:wrapSquare wrapText="bothSides"/>
                <wp:docPr id="903" name="Quote 9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3560" cy="90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  <w:jc w:val="left"/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“there will almost always be someone who could be affected by the software negatively on the team”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– P32 [1]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904" behindDoc="0" locked="0" layoutInCell="1" allowOverlap="1">
                <wp:simplePos x="0" y="0"/>
                <wp:positionH relativeFrom="margin">
                  <wp:posOffset>3443605</wp:posOffset>
                </wp:positionH>
                <wp:positionV relativeFrom="margin">
                  <wp:posOffset>5300000</wp:posOffset>
                </wp:positionV>
                <wp:extent cx="3083560" cy="1650000"/>
                <wp:effectExtent l="0" t="0" r="0" b="0"/>
                <wp:wrapSquare wrapText="bothSides"/>
                <wp:docPr id="904" name="Figure 2 9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3560" cy="165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50" w:line="240" w:lineRule="auto"/>
                              <w:jc w:val="left"/>
                            </w:pPr>
                            <w:r>
                              <w:rPr>
                                <w:b/>
                                <w:bCs/>
                                <w:sz w:val="19"/>
                                <w:szCs w:val="19"/>
                              </w:rPr>
                              <w:t xml:space="preserve">Figure 2: Checking the AI</w:t>
                            </w:r>
                          </w:p>
                          <w:p>
                            <w:pPr>
                              <w:spacing w:after="20" w:line="240" w:lineRule="auto"/>
                              <w:jc w:val="left"/>
                            </w:pPr>
                            <w:r>
                              <w:rPr>
                                <w:b/>
                                <w:bCs/>
                                <w:sz w:val="17"/>
                                <w:szCs w:val="17"/>
                              </w:rPr>
                              <w:t xml:space="preserve">Theme (posts in our manual check):</w:t>
                            </w:r>
                          </w:p>
                          <w:p>
                            <w:pPr>
                              <w:spacing w:after="10" w:line="240" w:lineRule="auto"/>
                              <w:jc w:val="left"/>
                            </w:pPr>
                            <w:r>
                              <w:rPr>
                                <w:sz w:val="17"/>
                                <w:szCs w:val="17"/>
                              </w:rPr>
                              <w:t xml:space="preserve">• Diverse perspectives &amp; teamwork – 11</w:t>
                            </w:r>
                          </w:p>
                          <w:p>
                            <w:pPr>
                              <w:spacing w:after="10" w:line="240" w:lineRule="auto"/>
                              <w:jc w:val="left"/>
                            </w:pPr>
                            <w:r>
                              <w:rPr>
                                <w:sz w:val="17"/>
                                <w:szCs w:val="17"/>
                              </w:rPr>
                              <w:t xml:space="preserve">• Reducing bias &amp; improving quality – 10</w:t>
                            </w:r>
                          </w:p>
                          <w:p>
                            <w:pPr>
                              <w:spacing w:after="10" w:line="240" w:lineRule="auto"/>
                              <w:jc w:val="left"/>
                            </w:pPr>
                            <w:r>
                              <w:rPr>
                                <w:sz w:val="17"/>
                                <w:szCs w:val="17"/>
                              </w:rPr>
                              <w:t xml:space="preserve">• Accessibility &amp; understanding users – 9</w:t>
                            </w:r>
                          </w:p>
                          <w:p>
                            <w:pPr>
                              <w:spacing w:after="10" w:line="240" w:lineRule="auto"/>
                              <w:jc w:val="left"/>
                            </w:pPr>
                            <w:r>
                              <w:rPr>
                                <w:sz w:val="17"/>
                                <w:szCs w:val="17"/>
                              </w:rPr>
                              <w:t xml:space="preserve">• Business &amp; society – 8</w:t>
                            </w:r>
                          </w:p>
                          <w:p>
                            <w:pPr>
                              <w:spacing w:after="10" w:line="240" w:lineRule="auto"/>
                              <w:jc w:val="left"/>
                            </w:pPr>
                            <w:r>
                              <w:rPr>
                                <w:sz w:val="17"/>
                                <w:szCs w:val="17"/>
                              </w:rPr>
                              <w:t xml:space="preserve">• Limits &amp; conditions – 7</w:t>
                            </w:r>
                          </w:p>
                          <w:p>
                            <w:pPr>
                              <w:spacing w:after="0" w:line="240" w:lineRule="auto"/>
                              <w:jc w:val="left"/>
                            </w:pPr>
                            <w:r>
                              <w:rPr>
                                <w:sz w:val="17"/>
                                <w:szCs w:val="17"/>
                              </w:rPr>
                              <w:t xml:space="preserve">Copilot’s first count: </w:t>
                            </w:r>
                            <w:r>
                              <w:rPr>
                                <w:sz w:val="17"/>
                                <w:szCs w:val="17"/>
                                <w:highlight w:val="yellow"/>
                              </w:rPr>
                              <w:t xml:space="preserve">[fill in, e.g. 4 themes, 41 posts]</w:t>
                            </w:r>
                            <w:r>
                              <w:rPr>
                                <w:sz w:val="17"/>
                                <w:szCs w:val="17"/>
                              </w:rPr>
                              <w:t xml:space="preserve">. Corrections made: </w:t>
                            </w:r>
                            <w:r>
                              <w:rPr>
                                <w:sz w:val="17"/>
                                <w:szCs w:val="17"/>
                                <w:highlight w:val="yellow"/>
                              </w:rPr>
                              <w:t xml:space="preserve">[e.g. P8, P31 moved]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905" behindDoc="0" locked="0" layoutInCell="1" allowOverlap="1">
                <wp:simplePos x="0" y="0"/>
                <wp:positionH relativeFrom="margin">
                  <wp:posOffset>6887210</wp:posOffset>
                </wp:positionH>
                <wp:positionV relativeFrom="margin">
                  <wp:posOffset>4300000</wp:posOffset>
                </wp:positionV>
                <wp:extent cx="3083560" cy="2650000"/>
                <wp:effectExtent l="0" t="0" r="0" b="0"/>
                <wp:wrapSquare wrapText="bothSides"/>
                <wp:docPr id="905" name="Missing 9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3560" cy="2650000"/>
                        </a:xfrm>
                        <a:prstGeom prst="rect">
                          <a:avLst/>
                        </a:prstGeom>
                        <a:solidFill>
                          <a:srgbClr val="EAF1FB"/>
                        </a:solidFill>
                        <a:ln w="9525">
                          <a:solidFill>
                            <a:srgbClr val="1F3864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80" w:line="240" w:lineRule="auto"/>
                              <w:jc w:val="left"/>
                            </w:pPr>
                            <w:r>
                              <w:rPr>
                                <w:b/>
                                <w:bCs/>
                                <w:color w:val="1F3864"/>
                                <w:sz w:val="22"/>
                                <w:szCs w:val="22"/>
                              </w:rPr>
                              <w:t xml:space="preserve">Who is missing from the padlet?</w:t>
                            </w:r>
                          </w:p>
                          <w:p>
                            <w:pPr>
                              <w:spacing w:after="40" w:line="240" w:lineRule="auto"/>
                              <w:jc w:val="left"/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Posts naming each group (of 45):</w:t>
                            </w:r>
                          </w:p>
                          <w:p>
                            <w:pPr>
                              <w:spacing w:after="20" w:line="240" w:lineRule="auto"/>
                              <w:jc w:val="left"/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• Disabled people – 1 (P3)</w:t>
                            </w:r>
                          </w:p>
                          <w:p>
                            <w:pPr>
                              <w:spacing w:after="20" w:line="240" w:lineRule="auto"/>
                              <w:jc w:val="left"/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• Women / gender – 1 (P12, “a pregnant woman”)</w:t>
                            </w:r>
                          </w:p>
                          <w:p>
                            <w:pPr>
                              <w:spacing w:after="20" w:line="240" w:lineRule="auto"/>
                              <w:jc w:val="left"/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• Low-income users – 1 (P18, “digital divide”)</w:t>
                            </w:r>
                          </w:p>
                          <w:p>
                            <w:pPr>
                              <w:spacing w:after="20" w:line="240" w:lineRule="auto"/>
                              <w:jc w:val="left"/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• Older users – 0</w:t>
                            </w:r>
                          </w:p>
                          <w:p>
                            <w:pPr>
                              <w:spacing w:after="20" w:line="240" w:lineRule="auto"/>
                              <w:jc w:val="left"/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• Neurodivergent users – 0</w:t>
                            </w:r>
                          </w:p>
                          <w:p>
                            <w:pPr>
                              <w:spacing w:after="80" w:line="240" w:lineRule="auto"/>
                              <w:jc w:val="left"/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• LGBTQ+ users – 0</w:t>
                            </w:r>
                          </w:p>
                          <w:p>
                            <w:pPr>
                              <w:spacing w:after="60" w:line="240" w:lineRule="auto"/>
                              <w:jc w:val="left"/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Over-represented: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“more viewpoints / ideas” – 11 posts, many only 1–3 words</w:t>
                            </w:r>
                          </w:p>
                          <w:p>
                            <w:pPr>
                              <w:spacing w:after="60" w:line="240" w:lineRule="auto"/>
                              <w:jc w:val="left"/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Critical or cautious posts: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7 of 45</w:t>
                            </w:r>
                          </w:p>
                          <w:p>
                            <w:pPr>
                              <w:spacing w:after="0" w:line="240" w:lineRule="auto"/>
                              <w:jc w:val="left"/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Posts citing evidence or law: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0 of 45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b/>
          <w:bCs/>
          <w:sz w:val="20"/>
          <w:szCs w:val="20"/>
        </w:rPr>
        <w:t xml:space="preserve">Common themes. </w:t>
      </w:r>
      <w:r>
        <w:rPr>
          <w:sz w:val="20"/>
          <w:szCs w:val="20"/>
        </w:rPr>
        <w:t xml:space="preserve">The 45 posts [1] fall into five themes (Figure 1). Most dominant are diverse perspectives (11 posts) and reducing bias (10): a diverse team “increases the chance of things being caught during code review” (P26) [1]. External evidence supports this: facial-analysis systems built on unrepresentative data misclassified darker-skinned women up to 34.7% of the time against 0.8% for lighter-skinned men [2], echoing P41’s call for “including different people in datasets” [1]. Business claims (P6, P22) are backed by McKinsey, who found gender-diverse executive teams 39% more likely to outperform financially [3], although this shows correlation, not causation. Contradicting the majority, posts warn diversity helps only “if handled well” (P8) and that “non-diverse teams can fully consider impact” (P35) [1].</w:t>
      </w:r>
    </w:p>
    <w:p>
      <w:pPr>
        <w:spacing w:after="120" w:line="240" w:lineRule="auto"/>
        <w:jc w:val="both"/>
      </w:pPr>
      <w:r>
        <w:rPr>
          <w:b/>
          <w:bCs/>
          <w:sz w:val="20"/>
          <w:szCs w:val="20"/>
        </w:rPr>
        <w:t xml:space="preserve">Missing and under/over-represented ideas. </w:t>
      </w:r>
      <w:r>
        <w:rPr>
          <w:sz w:val="20"/>
          <w:szCs w:val="20"/>
        </w:rPr>
        <w:t xml:space="preserve">Generic “more viewpoints” posts are over-represented, often just “More ideas” (P21). Despite the padlet’s title, impacts on actual people are thin: disability, gender and income each appear once, while older, neurodivergent and LGBTQ+ users never appear. Costs to businesses appear once (P31), and no post cites evidence or law such as the Equality Act 2010 [4]. As contributors were one class of computing students, the padlet itself may lack diversity.</w:t>
      </w:r>
    </w:p>
    <w:p>
      <w:pPr>
        <w:spacing w:after="120" w:line="240" w:lineRule="auto"/>
        <w:jc w:val="both"/>
      </w:pPr>
      <w:r>
        <w:rPr>
          <w:b/>
          <w:bCs/>
          <w:sz w:val="20"/>
          <w:szCs w:val="20"/>
        </w:rPr>
        <w:t xml:space="preserve">Critical use of AI. </w:t>
      </w:r>
      <w:r>
        <w:rPr>
          <w:sz w:val="20"/>
          <w:szCs w:val="20"/>
        </w:rPr>
        <w:t xml:space="preserve">Copilot themed and visualised the posts [5]. As the export splits posts into “Subject” and “Body” with “No data” fillers, we merged these first. Copilot’s first output </w:t>
      </w:r>
      <w:r>
        <w:rPr>
          <w:sz w:val="20"/>
          <w:szCs w:val="20"/>
          <w:highlight w:val="yellow"/>
        </w:rPr>
        <w:t xml:space="preserve">[describe its main error]</w:t>
      </w:r>
      <w:r>
        <w:rPr>
          <w:sz w:val="20"/>
          <w:szCs w:val="20"/>
        </w:rPr>
        <w:t xml:space="preserve">, so we re-prompted it and checked all 45 posts manually (Figure 2). All supporting sources were found independently.</w:t>
      </w:r>
    </w:p>
    <w:p>
      <w:pPr>
        <w:spacing w:after="120" w:line="240" w:lineRule="auto"/>
        <w:jc w:val="both"/>
      </w:pPr>
      <w:r>
        <w:rPr>
          <w:b/>
          <w:bCs/>
          <w:sz w:val="20"/>
          <w:szCs w:val="20"/>
        </w:rPr>
        <w:t xml:space="preserve">Overall, </w:t>
      </w:r>
      <w:r>
        <w:rPr>
          <w:sz w:val="20"/>
          <w:szCs w:val="20"/>
        </w:rPr>
        <w:t xml:space="preserve">the padlet explains why diverse teams matter but rarely who is affected, so it is a narrow, largely uncritical starting point.</w:t>
      </w:r>
    </w:p>
    <w:p>
      <w:r>
        <w:br w:type="page"/>
      </w:r>
    </w:p>
    <w:p>
      <w:pPr>
        <w:pStyle w:val="Heading1"/>
      </w:pPr>
      <w:r>
        <w:t>References (Question 3)</w:t>
      </w:r>
    </w:p>
    <w:p>
      <w:pPr>
        <w:spacing w:after="120" w:line="240" w:lineRule="auto"/>
        <w:jc w:val="both"/>
      </w:pPr>
      <w:r>
        <w:rPr>
          <w:sz w:val="18"/>
          <w:szCs w:val="18"/>
          <w:highlight w:val="yellow"/>
        </w:rPr>
        <w:t xml:space="preserve">[Merge these into the group’s single References page and renumber so citations run in order across Q1–Q3.]</w:t>
      </w:r>
    </w:p>
    <w:p>
      <w:pPr>
        <w:spacing w:after="120" w:line="240" w:lineRule="auto"/>
        <w:jc w:val="left"/>
      </w:pPr>
      <w:r>
        <w:rPr>
          <w:sz w:val="19"/>
          <w:szCs w:val="19"/>
        </w:rPr>
        <w:t xml:space="preserve">[1] J. Hoey, “Inclusive approach to software engineering: The impacts on people, society, businesses,” Padlet, CO3101 Lecture 5, 2026. [Online]. Available: https://padlet.com/jameshoey/cw1q3. [Accessed: </w:t>
      </w:r>
      <w:r>
        <w:rPr>
          <w:sz w:val="19"/>
          <w:szCs w:val="19"/>
          <w:highlight w:val="yellow"/>
        </w:rPr>
        <w:t xml:space="preserve">[dd Mmm. 2026]</w:t>
      </w:r>
      <w:r>
        <w:rPr>
          <w:sz w:val="19"/>
          <w:szCs w:val="19"/>
        </w:rPr>
        <w:t xml:space="preserve">].</w:t>
      </w:r>
    </w:p>
    <w:p>
      <w:pPr>
        <w:spacing w:after="120" w:line="240" w:lineRule="auto"/>
        <w:jc w:val="left"/>
      </w:pPr>
      <w:r>
        <w:rPr>
          <w:sz w:val="19"/>
          <w:szCs w:val="19"/>
        </w:rPr>
        <w:t xml:space="preserve">[2] J. Buolamwini and T. Gebru, “Gender shades: Intersectional accuracy disparities in commercial gender classification,” in </w:t>
      </w:r>
      <w:r>
        <w:rPr>
          <w:i/>
          <w:iCs/>
          <w:sz w:val="19"/>
          <w:szCs w:val="19"/>
        </w:rPr>
        <w:t xml:space="preserve">Proc. 1st Conf. Fairness, Accountability and Transparency</w:t>
      </w:r>
      <w:r>
        <w:rPr>
          <w:sz w:val="19"/>
          <w:szCs w:val="19"/>
        </w:rPr>
        <w:t xml:space="preserve">, PMLR vol. 81, 2018, pp. 77–91.</w:t>
      </w:r>
    </w:p>
    <w:p>
      <w:pPr>
        <w:spacing w:after="120" w:line="240" w:lineRule="auto"/>
        <w:jc w:val="left"/>
      </w:pPr>
      <w:r>
        <w:rPr>
          <w:sz w:val="19"/>
          <w:szCs w:val="19"/>
        </w:rPr>
        <w:t xml:space="preserve">[3] McKinsey &amp; Company, “Diversity matters even more: The case for holistic impact,” Nov. 2023. [Online]. Available: https://www.mckinsey.com/featured-insights/diversity-and-inclusion/diversity-matters-even-more-the-case-for-holistic-impact</w:t>
      </w:r>
    </w:p>
    <w:p>
      <w:pPr>
        <w:spacing w:after="120" w:line="240" w:lineRule="auto"/>
        <w:jc w:val="left"/>
      </w:pPr>
      <w:r>
        <w:rPr>
          <w:sz w:val="19"/>
          <w:szCs w:val="19"/>
        </w:rPr>
        <w:t xml:space="preserve">[4] </w:t>
      </w:r>
      <w:r>
        <w:rPr>
          <w:i/>
          <w:iCs/>
          <w:sz w:val="19"/>
          <w:szCs w:val="19"/>
        </w:rPr>
        <w:t xml:space="preserve">Equality Act 2010</w:t>
      </w:r>
      <w:r>
        <w:rPr>
          <w:sz w:val="19"/>
          <w:szCs w:val="19"/>
        </w:rPr>
        <w:t xml:space="preserve">, c. 15. London, U.K.: The Stationery Office, 2010. [Online]. Available: https://www.legislation.gov.uk/ukpga/2010/15/contents</w:t>
      </w:r>
    </w:p>
    <w:p>
      <w:pPr>
        <w:spacing w:after="120" w:line="240" w:lineRule="auto"/>
        <w:jc w:val="left"/>
      </w:pPr>
      <w:r>
        <w:rPr>
          <w:sz w:val="19"/>
          <w:szCs w:val="19"/>
        </w:rPr>
        <w:t xml:space="preserve">[5] Microsoft Copilot, “Thematic grouping and mind map of CO3101 padlet posts,” AI chat, 2026. [Online]. Available: </w:t>
      </w:r>
      <w:r>
        <w:rPr>
          <w:sz w:val="19"/>
          <w:szCs w:val="19"/>
          <w:highlight w:val="yellow"/>
        </w:rPr>
        <w:t xml:space="preserve">[shared Copilot chat link]</w:t>
      </w:r>
      <w:r>
        <w:rPr>
          <w:sz w:val="19"/>
          <w:szCs w:val="19"/>
        </w:rPr>
        <w:t xml:space="preserve">. [Accessed: </w:t>
      </w:r>
      <w:r>
        <w:rPr>
          <w:sz w:val="19"/>
          <w:szCs w:val="19"/>
          <w:highlight w:val="yellow"/>
        </w:rPr>
        <w:t xml:space="preserve">[dd Mmm. 2026]</w:t>
      </w:r>
      <w:r>
        <w:rPr>
          <w:sz w:val="19"/>
          <w:szCs w:val="19"/>
        </w:rPr>
        <w:t xml:space="preserve">].</w:t>
      </w:r>
    </w:p>
    <w:p>
      <w:pPr>
        <w:spacing w:after="120" w:line="240" w:lineRule="auto"/>
        <w:jc w:val="left"/>
      </w:pPr>
      <w:r>
        <w:rPr>
          <w:sz w:val="19"/>
          <w:szCs w:val="19"/>
        </w:rPr>
        <w:t xml:space="preserve">[6] Anthropic Claude, “Analysis of padlet posts and drafting of CO3101 CW1 Question 3,” AI chat, 2026. [Online]. Available: </w:t>
      </w:r>
      <w:r>
        <w:rPr>
          <w:sz w:val="19"/>
          <w:szCs w:val="19"/>
          <w:highlight w:val="yellow"/>
        </w:rPr>
        <w:t xml:space="preserve">[shared Claude chat link]</w:t>
      </w:r>
      <w:r>
        <w:rPr>
          <w:sz w:val="19"/>
          <w:szCs w:val="19"/>
        </w:rPr>
        <w:t xml:space="preserve">. [Accessed: </w:t>
      </w:r>
      <w:r>
        <w:rPr>
          <w:sz w:val="19"/>
          <w:szCs w:val="19"/>
          <w:highlight w:val="yellow"/>
        </w:rPr>
        <w:t xml:space="preserve">[dd Mmm. 2026]</w:t>
      </w:r>
      <w:r>
        <w:rPr>
          <w:sz w:val="19"/>
          <w:szCs w:val="19"/>
        </w:rPr>
        <w:t xml:space="preserve">].</w:t>
      </w:r>
    </w:p>
    <w:p>
      <w:pPr>
        <w:pStyle w:val="Heading1"/>
      </w:pPr>
      <w:r>
        <w:t>AI use declaration</w:t>
      </w:r>
    </w:p>
    <w:p>
      <w:pPr>
        <w:spacing w:after="120" w:line="240" w:lineRule="auto"/>
        <w:jc w:val="both"/>
      </w:pPr>
      <w:r>
        <w:rPr>
          <w:sz w:val="19"/>
          <w:szCs w:val="19"/>
        </w:rPr>
        <w:t xml:space="preserve">Microsoft Copilot [5] was used to group the padlet posts into themes and produce the mind map in Figure 1; every post was checked manually against the padlet and errors were corrected. Claude [6] was used to independently count the posts per theme, suggest supporting sources and help draft the structure and wording of this answer; all quotes, counts and sources were checked by us against the originals. </w:t>
      </w:r>
      <w:r>
        <w:rPr>
          <w:sz w:val="19"/>
          <w:szCs w:val="19"/>
          <w:highlight w:val="yellow"/>
        </w:rPr>
        <w:t xml:space="preserve">[Edit to match exactly what you did.]</w:t>
      </w:r>
    </w:p>
    <w:sectPr w:rsidR="00E018D5" w:rsidSect="0048564C">
      <w:pgSz w:w="16838" w:h="11906" w:orient="landscape"/>
      <w:pgMar w:top="454" w:right="567" w:bottom="567" w:left="567" w:header="680" w:footer="340" w:gutter="0"/>
      <w:cols w:num="3" w:space="56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7310A0" w14:textId="77777777" w:rsidR="00DE2D67" w:rsidRDefault="00DE2D67" w:rsidP="009C3738">
      <w:pPr>
        <w:spacing w:after="0" w:line="240" w:lineRule="auto"/>
      </w:pPr>
      <w:r>
        <w:separator/>
      </w:r>
    </w:p>
  </w:endnote>
  <w:endnote w:type="continuationSeparator" w:id="0">
    <w:p w14:paraId="7EA40E86" w14:textId="77777777" w:rsidR="00DE2D67" w:rsidRDefault="00DE2D67" w:rsidP="009C37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8CD54" w14:textId="77777777" w:rsidR="00DE2D67" w:rsidRDefault="00DE2D67" w:rsidP="009C3738">
      <w:pPr>
        <w:spacing w:after="0" w:line="240" w:lineRule="auto"/>
      </w:pPr>
      <w:r>
        <w:separator/>
      </w:r>
    </w:p>
  </w:footnote>
  <w:footnote w:type="continuationSeparator" w:id="0">
    <w:p w14:paraId="7DFC9206" w14:textId="77777777" w:rsidR="00DE2D67" w:rsidRDefault="00DE2D67" w:rsidP="009C373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C4E"/>
    <w:rsid w:val="000532F0"/>
    <w:rsid w:val="000A3F0E"/>
    <w:rsid w:val="001C7E95"/>
    <w:rsid w:val="00231C79"/>
    <w:rsid w:val="0048564C"/>
    <w:rsid w:val="00507C4E"/>
    <w:rsid w:val="006625D9"/>
    <w:rsid w:val="006646F4"/>
    <w:rsid w:val="006D44B2"/>
    <w:rsid w:val="007837CF"/>
    <w:rsid w:val="00893523"/>
    <w:rsid w:val="009324C2"/>
    <w:rsid w:val="009C3738"/>
    <w:rsid w:val="00A233CE"/>
    <w:rsid w:val="00A33C09"/>
    <w:rsid w:val="00A754B2"/>
    <w:rsid w:val="00B2049E"/>
    <w:rsid w:val="00B84071"/>
    <w:rsid w:val="00BF1C4F"/>
    <w:rsid w:val="00C02027"/>
    <w:rsid w:val="00C43F6A"/>
    <w:rsid w:val="00DB6148"/>
    <w:rsid w:val="00DE2D67"/>
    <w:rsid w:val="00E01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7A84E"/>
  <w15:chartTrackingRefBased/>
  <w15:docId w15:val="{D95905E7-1A37-400A-A934-477C8F2F2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er"/>
    <w:next w:val="Normal"/>
    <w:link w:val="Heading1Char"/>
    <w:uiPriority w:val="9"/>
    <w:qFormat/>
    <w:rsid w:val="006625D9"/>
    <w:pPr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C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C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C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C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C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C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C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5D9"/>
    <w:rPr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C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C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C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C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C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C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C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C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C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C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C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C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C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C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C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C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C4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C37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3738"/>
  </w:style>
  <w:style w:type="paragraph" w:styleId="Footer">
    <w:name w:val="footer"/>
    <w:basedOn w:val="Normal"/>
    <w:link w:val="FooterChar"/>
    <w:uiPriority w:val="99"/>
    <w:unhideWhenUsed/>
    <w:rsid w:val="009C37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37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EE7930-842D-47C9-8424-DDE342A9E1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6</Pages>
  <Words>2030</Words>
  <Characters>8913</Characters>
  <Application>Microsoft Office Word</Application>
  <DocSecurity>0</DocSecurity>
  <Lines>212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Jimmy Hoey</dc:creator>
  <cp:keywords/>
  <dc:description/>
  <cp:lastModifiedBy>Jimmy Hoey</cp:lastModifiedBy>
  <cp:revision>10</cp:revision>
  <dcterms:created xsi:type="dcterms:W3CDTF">2024-09-21T15:45:00Z</dcterms:created>
  <dcterms:modified xsi:type="dcterms:W3CDTF">2026-10-01T16:54:00Z</dcterms:modified>
</cp:coreProperties>
</file>