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start"/>
        <w:rPr>
          <w:rFonts w:ascii="Liberation Sans" w:hAnsi="Liberation Sans"/>
          <w:color w:val="8D1D75"/>
        </w:rPr>
      </w:pPr>
      <w:r>
        <w:rPr>
          <w:color w:val="8D1D75"/>
        </w:rPr>
        <w:t>Tirocinio Tafuro</w:t>
      </w:r>
    </w:p>
    <w:p>
      <w:pPr>
        <w:pStyle w:val="BodyText"/>
        <w:bidi w:val="0"/>
        <w:jc w:val="start"/>
        <w:rPr/>
      </w:pPr>
      <w:r>
        <w:rPr>
          <w:rFonts w:ascii="Noto Sans" w:hAnsi="Noto Sans"/>
        </w:rPr>
        <w:t xml:space="preserve">La prima parte del lavoro consiste nella creazione di un intelligenza artificiale, allenata tramite random forest con il </w:t>
      </w:r>
      <w:r>
        <w:rPr>
          <w:rFonts w:ascii="Noto Sans" w:hAnsi="Noto Sans"/>
        </w:rPr>
        <w:t>dataset CIC-IDS2018</w:t>
      </w:r>
      <w:r>
        <w:rPr>
          <w:rStyle w:val="FootnoteReference"/>
          <w:rFonts w:ascii="Noto Sans" w:hAnsi="Noto Sans"/>
        </w:rPr>
        <w:footnoteReference w:id="2"/>
      </w:r>
      <w:r>
        <w:rPr>
          <w:rFonts w:ascii="Noto Sans" w:hAnsi="Noto Sans"/>
        </w:rPr>
        <w:t>.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Il progetto è diviso in due file: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  <w:b/>
          <w:bCs/>
        </w:rPr>
        <w:t>train_model.py</w:t>
      </w:r>
      <w:r>
        <w:rPr>
          <w:rFonts w:ascii="Noto Sans" w:hAnsi="Noto Sans"/>
        </w:rPr>
        <w:t>: È il file che contiene tutta la logica per l’addestramento del modello e la valutazione delle metriche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  <w:b/>
          <w:bCs/>
        </w:rPr>
        <w:t>misc.py</w:t>
      </w:r>
      <w:r>
        <w:rPr>
          <w:rFonts w:ascii="Noto Sans" w:hAnsi="Noto Sans"/>
        </w:rPr>
        <w:t>: Contiene varie funzioni utili alla costruzione di un dataset ed alla pulizia dei dati contenuti in esso</w:t>
      </w:r>
    </w:p>
    <w:p>
      <w:pPr>
        <w:pStyle w:val="Heading2"/>
        <w:bidi w:val="0"/>
        <w:ind w:hanging="0" w:start="0"/>
        <w:jc w:val="start"/>
        <w:rPr/>
      </w:pPr>
      <w:r>
        <w:rPr/>
        <w:t>Il dataset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Il dataset è stato originariamente creato dall’Università del New Brunswick per analizzare attacchi DdoS, </w:t>
      </w:r>
      <w:r>
        <w:rPr>
          <w:rFonts w:ascii="Noto Sans" w:hAnsi="Noto Sans"/>
        </w:rPr>
        <w:t xml:space="preserve">ed è il risultato della cattura del traffico rete di un IDS, per </w:t>
      </w:r>
      <w:r>
        <w:rPr>
          <w:rFonts w:ascii="Noto Sans" w:hAnsi="Noto Sans"/>
        </w:rPr>
        <w:t>una decina di giorni</w:t>
      </w:r>
      <w:r>
        <w:rPr>
          <w:rFonts w:ascii="Noto Sans" w:hAnsi="Noto Sans"/>
        </w:rPr>
        <w:t xml:space="preserve"> di marzo 2018</w:t>
      </w:r>
      <w:r>
        <w:rPr>
          <w:rFonts w:ascii="Noto Sans" w:hAnsi="Noto Sans"/>
        </w:rPr>
        <w:t xml:space="preserve">. Esso si compone di 80 colonne </w:t>
      </w:r>
      <w:r>
        <w:rPr>
          <w:rFonts w:ascii="Noto Sans" w:hAnsi="Noto Sans"/>
        </w:rPr>
        <w:t>per circa 8 milioni di righe.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Tra le </w:t>
      </w:r>
      <w:r>
        <w:rPr>
          <w:rFonts w:ascii="Noto Sans" w:hAnsi="Noto Sans"/>
        </w:rPr>
        <w:t>colonne</w:t>
      </w:r>
      <w:r>
        <w:rPr>
          <w:rFonts w:ascii="Noto Sans" w:hAnsi="Noto Sans"/>
        </w:rPr>
        <w:t xml:space="preserve"> più importanti troviamo: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lineRule="auto" w:line="276" w:before="0" w:after="0"/>
        <w:ind w:hanging="552" w:start="720" w:end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Dst Port (Destination port)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lineRule="auto" w:line="276" w:before="0" w:after="0"/>
        <w:ind w:hanging="552" w:start="720" w:end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Protocol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lineRule="auto" w:line="276" w:before="0" w:after="0"/>
        <w:ind w:hanging="552" w:start="720" w:end="0"/>
        <w:jc w:val="start"/>
        <w:rPr>
          <w:rFonts w:ascii="Noto Sans" w:hAnsi="Noto Sans"/>
        </w:rPr>
      </w:pPr>
      <w:r>
        <w:rPr>
          <w:rFonts w:ascii="Noto Sans" w:hAnsi="Noto Sans"/>
        </w:rPr>
        <w:t>Flow Duration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spacing w:lineRule="auto" w:line="276" w:before="0" w:after="0"/>
        <w:ind w:hanging="552" w:start="720" w:end="0"/>
        <w:jc w:val="start"/>
        <w:rPr>
          <w:rFonts w:ascii="Noto Sans" w:hAnsi="Noto Sans"/>
        </w:rPr>
      </w:pPr>
      <w:r>
        <w:rPr>
          <w:rFonts w:ascii="Noto Sans" w:hAnsi="Noto Sans"/>
        </w:rPr>
        <w:t>Tot Fwd Pkts</w:t>
      </w:r>
      <w:r>
        <w:rPr>
          <w:rStyle w:val="FootnoteReference"/>
          <w:rFonts w:ascii="Noto Sans" w:hAnsi="Noto Sans"/>
        </w:rPr>
        <w:footnoteReference w:id="3"/>
      </w:r>
      <w:r>
        <w:rPr>
          <w:rFonts w:ascii="Noto Sans" w:hAnsi="Noto Sans"/>
        </w:rPr>
        <w:t xml:space="preserve"> (Total forward packets)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lineRule="auto" w:line="276" w:before="0" w:after="0"/>
        <w:ind w:hanging="552" w:start="720" w:end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Tot Bwd Pkts (Total backward packets)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lineRule="auto" w:line="276"/>
        <w:ind w:hanging="552" w:start="720" w:end="0"/>
        <w:jc w:val="start"/>
        <w:rPr>
          <w:rFonts w:ascii="Noto Sans" w:hAnsi="Noto Sans"/>
        </w:rPr>
      </w:pPr>
      <w:r>
        <w:rPr>
          <w:rFonts w:ascii="Noto Sans" w:hAnsi="Noto Sans"/>
        </w:rPr>
        <w:t>Label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Il traffico viene identificato come malevolo o benigno in base al valore contenuto nella colonna </w:t>
      </w:r>
      <w:r>
        <w:rPr>
          <w:rFonts w:ascii="Noto Sans" w:hAnsi="Noto Sans"/>
          <w:b/>
          <w:bCs/>
        </w:rPr>
        <w:t xml:space="preserve">Label, </w:t>
      </w:r>
      <w:r>
        <w:rPr>
          <w:rFonts w:ascii="Noto Sans" w:hAnsi="Noto Sans"/>
          <w:b w:val="false"/>
          <w:bCs w:val="false"/>
        </w:rPr>
        <w:t>che possono essere: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 </w:t>
      </w:r>
      <w:r>
        <w:rPr>
          <w:rFonts w:ascii="Noto Sans" w:hAnsi="Noto Sans"/>
        </w:rPr>
        <w:drawing>
          <wp:inline distT="0" distB="0" distL="0" distR="0">
            <wp:extent cx="2466340" cy="3552190"/>
            <wp:effectExtent l="0" t="0" r="0" b="0"/>
            <wp:docPr id="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355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rFonts w:ascii="Noto Sans" w:hAnsi="Noto Sans"/>
          <w:b w:val="false"/>
          <w:bCs w:val="false"/>
        </w:rPr>
      </w:pPr>
      <w:r>
        <w:rPr>
          <w:rFonts w:ascii="Noto Sans" w:hAnsi="Noto Sans"/>
          <w:b w:val="false"/>
          <w:bCs w:val="false"/>
        </w:rPr>
        <w:t>Inoltre, il dataset è diviso in molteplici file CSV, uno per ogni giorno di cattura dei pacchetti.</w:t>
      </w:r>
    </w:p>
    <w:p>
      <w:pPr>
        <w:pStyle w:val="Heading3"/>
        <w:bidi w:val="0"/>
        <w:ind w:hanging="0" w:start="0"/>
        <w:jc w:val="start"/>
        <w:rPr/>
      </w:pPr>
      <w:r>
        <w:rPr/>
        <w:t>Pre-processing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Data la grande mole di entries “</w:t>
      </w:r>
      <w:r>
        <w:rPr>
          <w:rFonts w:ascii="Noto Sans" w:hAnsi="Noto Sans"/>
        </w:rPr>
        <w:t>sporche”</w:t>
      </w:r>
      <w:r>
        <w:rPr>
          <w:rFonts w:ascii="Noto Sans" w:hAnsi="Noto Sans"/>
        </w:rPr>
        <w:t xml:space="preserve"> presenti nel dataset, una prima fase di </w:t>
      </w:r>
      <w:r>
        <w:rPr>
          <w:rFonts w:ascii="Noto Sans" w:hAnsi="Noto Sans"/>
        </w:rPr>
        <w:t>pulizia</w:t>
      </w:r>
      <w:r>
        <w:rPr>
          <w:rFonts w:ascii="Noto Sans" w:hAnsi="Noto Sans"/>
        </w:rPr>
        <w:t xml:space="preserve"> si è resa necessaria.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Come primo step </w:t>
      </w:r>
      <w:r>
        <w:rPr>
          <w:rFonts w:ascii="Noto Sans" w:hAnsi="Noto Sans"/>
        </w:rPr>
        <w:t xml:space="preserve">per la </w:t>
      </w:r>
      <w:r>
        <w:rPr>
          <w:rFonts w:ascii="Noto Sans" w:hAnsi="Noto Sans"/>
        </w:rPr>
        <w:t xml:space="preserve">pulizia del dataset, </w:t>
      </w:r>
      <w:r>
        <w:rPr>
          <w:rFonts w:ascii="Noto Sans" w:hAnsi="Noto Sans"/>
        </w:rPr>
        <w:t>sono state rimosse</w:t>
      </w:r>
      <w:r>
        <w:rPr>
          <w:rFonts w:ascii="Noto Sans" w:hAnsi="Noto Sans"/>
        </w:rPr>
        <w:t xml:space="preserve"> le entries che presentavano campi non validi (con valori NaN o infiniti) </w:t>
      </w:r>
      <w:r>
        <w:rPr>
          <w:rFonts w:ascii="Noto Sans" w:hAnsi="Noto Sans"/>
        </w:rPr>
        <w:t xml:space="preserve">e </w:t>
      </w:r>
      <w:r>
        <w:rPr>
          <w:rFonts w:ascii="Noto Sans" w:hAnsi="Noto Sans"/>
        </w:rPr>
        <w:t xml:space="preserve">si è iniziata </w:t>
      </w:r>
      <w:r>
        <w:rPr>
          <w:rFonts w:ascii="Noto Sans" w:hAnsi="Noto Sans"/>
        </w:rPr>
        <w:t>la</w:t>
      </w:r>
      <w:r>
        <w:rPr>
          <w:rFonts w:ascii="Noto Sans" w:hAnsi="Noto Sans"/>
        </w:rPr>
        <w:t xml:space="preserve"> prima fase della feature importance, </w:t>
      </w:r>
      <w:r>
        <w:rPr>
          <w:rFonts w:ascii="Noto Sans" w:hAnsi="Noto Sans"/>
        </w:rPr>
        <w:t xml:space="preserve">che è stata svolta “manualmente”, </w:t>
      </w:r>
      <w:r>
        <w:rPr>
          <w:rFonts w:ascii="Noto Sans" w:hAnsi="Noto Sans"/>
        </w:rPr>
        <w:t>rimuovendo a priori l</w:t>
      </w:r>
      <w:r>
        <w:rPr>
          <w:rFonts w:ascii="Noto Sans" w:hAnsi="Noto Sans"/>
        </w:rPr>
        <w:t>a colonna</w:t>
      </w:r>
      <w:r>
        <w:rPr>
          <w:rFonts w:ascii="Noto Sans" w:hAnsi="Noto Sans"/>
        </w:rPr>
        <w:t xml:space="preserve"> </w:t>
      </w:r>
      <w:r>
        <w:rPr>
          <w:rFonts w:ascii="Noto Sans" w:hAnsi="Noto Sans"/>
        </w:rPr>
        <w:t>“Timestamp” dal dataset, poiché considerat</w:t>
      </w:r>
      <w:r>
        <w:rPr>
          <w:rFonts w:ascii="Noto Sans" w:hAnsi="Noto Sans"/>
        </w:rPr>
        <w:t>a</w:t>
      </w:r>
      <w:r>
        <w:rPr>
          <w:rFonts w:ascii="Noto Sans" w:hAnsi="Noto Sans"/>
        </w:rPr>
        <w:t xml:space="preserve"> inutil</w:t>
      </w:r>
      <w:r>
        <w:rPr>
          <w:rFonts w:ascii="Noto Sans" w:hAnsi="Noto Sans"/>
        </w:rPr>
        <w:t>e</w:t>
      </w:r>
      <w:r>
        <w:rPr>
          <w:rFonts w:ascii="Noto Sans" w:hAnsi="Noto Sans"/>
        </w:rPr>
        <w:t>.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Va, inoltre, specificato che, data la grandezza del dataset, la parte del programma che gestisce la pulizia e la costruzione del dataset stesso, lo divide in piccoli chunk e lavora su di essi, per alleggerire il carico alla memoria.</w:t>
      </w:r>
    </w:p>
    <w:p>
      <w:pPr>
        <w:pStyle w:val="Heading3"/>
        <w:bidi w:val="0"/>
        <w:ind w:hanging="0" w:start="0"/>
        <w:jc w:val="start"/>
        <w:rPr/>
      </w:pPr>
      <w:r>
        <w:rPr/>
        <w:t>Costruzione del dataset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La fase di costruzione del dataset ha previsto l’unione dei vari file del dataset in un unico grande file CSV.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In un’</w:t>
      </w:r>
      <w:r>
        <w:rPr>
          <w:rFonts w:ascii="Noto Sans" w:hAnsi="Noto Sans"/>
        </w:rPr>
        <w:t>ulteriore fase del</w:t>
      </w:r>
      <w:r>
        <w:rPr>
          <w:rFonts w:ascii="Noto Sans" w:hAnsi="Noto Sans"/>
        </w:rPr>
        <w:t xml:space="preserve">la costruzione è stato </w:t>
      </w:r>
      <w:r>
        <w:rPr>
          <w:rFonts w:ascii="Noto Sans" w:hAnsi="Noto Sans"/>
        </w:rPr>
        <w:t xml:space="preserve">effettuato </w:t>
      </w:r>
      <w:r>
        <w:rPr>
          <w:rFonts w:ascii="Noto Sans" w:hAnsi="Noto Sans"/>
        </w:rPr>
        <w:t>un downsampling de</w:t>
      </w:r>
      <w:r>
        <w:rPr>
          <w:rFonts w:ascii="Noto Sans" w:hAnsi="Noto Sans"/>
        </w:rPr>
        <w:t xml:space="preserve">i campioni </w:t>
      </w:r>
      <w:r>
        <w:rPr>
          <w:rFonts w:ascii="Noto Sans" w:hAnsi="Noto Sans"/>
        </w:rPr>
        <w:t xml:space="preserve">benigni selezionandone un sottoinsieme,  in modo che </w:t>
      </w:r>
      <w:r>
        <w:rPr>
          <w:rFonts w:ascii="Noto Sans" w:hAnsi="Noto Sans"/>
        </w:rPr>
        <w:t>i</w:t>
      </w:r>
      <w:r>
        <w:rPr>
          <w:rFonts w:ascii="Noto Sans" w:hAnsi="Noto Sans"/>
        </w:rPr>
        <w:t>l numero di</w:t>
      </w:r>
      <w:r>
        <w:rPr>
          <w:rFonts w:ascii="Noto Sans" w:hAnsi="Noto Sans"/>
        </w:rPr>
        <w:t xml:space="preserve"> campioni benigni </w:t>
      </w:r>
      <w:r>
        <w:rPr>
          <w:rFonts w:ascii="Noto Sans" w:hAnsi="Noto Sans"/>
        </w:rPr>
        <w:t>sia uguale al numero</w:t>
      </w:r>
      <w:r>
        <w:rPr>
          <w:rFonts w:ascii="Noto Sans" w:hAnsi="Noto Sans"/>
        </w:rPr>
        <w:t xml:space="preserve"> campioni malevoli</w:t>
      </w:r>
      <w:r>
        <w:rPr>
          <w:rFonts w:ascii="Noto Sans" w:hAnsi="Noto Sans"/>
        </w:rPr>
        <w:t>. Questo perché il dataset presenta di per sé molti più campioni benigni che maligni, e questo porta ad un peggioramento delle performance dell’IA quando deve rilevare le classi meno rappresentate.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I valori possibili della colonna “Label” sono: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drawing>
          <wp:inline distT="0" distB="0" distL="0" distR="0">
            <wp:extent cx="2466340" cy="35521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355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Per semplicità, il valore “Benign” è stato trasformato in 0, mentre tutti i valori che non sono “Benign” sono stati trasformati in 1 </w:t>
      </w:r>
      <w:r>
        <w:rPr>
          <w:rFonts w:ascii="Noto Sans" w:hAnsi="Noto Sans"/>
        </w:rPr>
        <w:t>(come visto nella funzione clean_dataset)</w:t>
      </w:r>
      <w:r>
        <w:rPr>
          <w:rFonts w:ascii="Noto Sans" w:hAnsi="Noto Sans"/>
        </w:rPr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Funzione ‘</w:t>
      </w:r>
      <w:r>
        <w:rPr>
          <w:b w:val="false"/>
          <w:bCs w:val="false"/>
          <w:i/>
          <w:iCs/>
        </w:rPr>
        <w:t>load_and_prepare’</w:t>
      </w:r>
      <w:r>
        <w:rPr>
          <w:b w:val="false"/>
          <w:bCs w:val="false"/>
          <w:i w:val="false"/>
          <w:iCs w:val="false"/>
        </w:rPr>
        <w:t>:</w:t>
      </w:r>
    </w:p>
    <w:p>
      <w:pPr>
        <w:pStyle w:val="BodyText"/>
        <w:bidi w:val="0"/>
        <w:jc w:val="start"/>
        <w:rPr>
          <w:rFonts w:ascii="Noto Sans" w:hAnsi="Noto Sans"/>
          <w:b w:val="false"/>
          <w:bCs w:val="false"/>
          <w:i w:val="false"/>
          <w:iCs w:val="false"/>
        </w:rPr>
      </w:pPr>
      <w:r>
        <w:rPr>
          <w:rFonts w:ascii="Noto Sans" w:hAnsi="Noto Sans"/>
          <w:b w:val="false"/>
          <w:bCs w:val="false"/>
          <w:i w:val="false"/>
          <w:iCs w:val="false"/>
        </w:rPr>
        <w:t>Questa è la funzione che si occupa selezionare solo una parte dei campioni benigni, in modo che il suo numero sia uguale a quello dei campioni maligni (2.169.002 campioni per classe).</w:t>
      </w:r>
    </w:p>
    <w:p>
      <w:pPr>
        <w:pStyle w:val="Heading2"/>
        <w:bidi w:val="0"/>
        <w:ind w:hanging="0" w:start="0"/>
        <w:jc w:val="start"/>
        <w:rPr/>
      </w:pPr>
      <w:r>
        <w:rPr/>
        <w:t>Addestramento</w:t>
      </w:r>
      <w:r>
        <w:rPr/>
        <w:t xml:space="preserve"> del modello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Il modello viene addestrato nella funzione ‘</w:t>
      </w:r>
      <w:r>
        <w:rPr>
          <w:rFonts w:ascii="Noto Sans" w:hAnsi="Noto Sans"/>
          <w:i/>
          <w:iCs/>
        </w:rPr>
        <w:t>train_model</w:t>
      </w:r>
      <w:r>
        <w:rPr>
          <w:rFonts w:ascii="Noto Sans" w:hAnsi="Noto Sans"/>
          <w:i w:val="false"/>
          <w:iCs w:val="false"/>
        </w:rPr>
        <w:t>’.</w:t>
      </w:r>
    </w:p>
    <w:p>
      <w:pPr>
        <w:pStyle w:val="BodyText"/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 xml:space="preserve">Lo </w:t>
      </w:r>
      <w:r>
        <w:rPr>
          <w:rFonts w:ascii="Noto Sans" w:hAnsi="Noto Sans"/>
          <w:i w:val="false"/>
          <w:iCs w:val="false"/>
        </w:rPr>
        <w:t xml:space="preserve">splitting train/test </w:t>
      </w:r>
      <w:r>
        <w:rPr>
          <w:rFonts w:ascii="Noto Sans" w:hAnsi="Noto Sans"/>
          <w:i w:val="false"/>
          <w:iCs w:val="false"/>
        </w:rPr>
        <w:t xml:space="preserve">è stato fatto prendendo in considerazione le scelte di altri programmatori (ad esempio </w:t>
      </w:r>
      <w:hyperlink r:id="rId4">
        <w:r>
          <w:rPr>
            <w:rStyle w:val="Hyperlink"/>
            <w:rFonts w:ascii="Noto Sans" w:hAnsi="Noto Sans"/>
            <w:i w:val="false"/>
            <w:iCs w:val="false"/>
          </w:rPr>
          <w:t>questo</w:t>
        </w:r>
      </w:hyperlink>
      <w:r>
        <w:rPr>
          <w:rFonts w:ascii="Noto Sans" w:hAnsi="Noto Sans"/>
          <w:i w:val="false"/>
          <w:iCs w:val="false"/>
        </w:rPr>
        <w:t>).</w:t>
      </w:r>
    </w:p>
    <w:p>
      <w:pPr>
        <w:pStyle w:val="BodyText"/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 xml:space="preserve">Per quanto riguarda </w:t>
      </w:r>
      <w:r>
        <w:rPr>
          <w:rFonts w:ascii="Noto Sans" w:hAnsi="Noto Sans"/>
          <w:i w:val="false"/>
          <w:iCs w:val="false"/>
        </w:rPr>
        <w:t>la scelta</w:t>
      </w:r>
      <w:r>
        <w:rPr>
          <w:rFonts w:ascii="Noto Sans" w:hAnsi="Noto Sans"/>
          <w:i w:val="false"/>
          <w:iCs w:val="false"/>
        </w:rPr>
        <w:t xml:space="preserve"> </w:t>
      </w:r>
      <w:r>
        <w:rPr>
          <w:rFonts w:ascii="Noto Sans" w:hAnsi="Noto Sans"/>
          <w:i w:val="false"/>
          <w:iCs w:val="false"/>
        </w:rPr>
        <w:t>de</w:t>
      </w:r>
      <w:r>
        <w:rPr>
          <w:rFonts w:ascii="Noto Sans" w:hAnsi="Noto Sans"/>
          <w:i w:val="false"/>
          <w:iCs w:val="false"/>
        </w:rPr>
        <w:t xml:space="preserve">gli iperparametri del modello, </w:t>
      </w:r>
      <w:r>
        <w:rPr>
          <w:rFonts w:ascii="Noto Sans" w:hAnsi="Noto Sans"/>
          <w:i w:val="false"/>
          <w:iCs w:val="false"/>
        </w:rPr>
        <w:t xml:space="preserve">sono state </w:t>
      </w:r>
      <w:r>
        <w:rPr>
          <w:rFonts w:ascii="Noto Sans" w:hAnsi="Noto Sans"/>
          <w:i w:val="false"/>
          <w:iCs w:val="false"/>
        </w:rPr>
        <w:t>utilizzate</w:t>
      </w:r>
      <w:r>
        <w:rPr>
          <w:rFonts w:ascii="Noto Sans" w:hAnsi="Noto Sans"/>
          <w:i w:val="false"/>
          <w:iCs w:val="false"/>
        </w:rPr>
        <w:t xml:space="preserve"> le funzioni </w:t>
      </w:r>
      <w:r>
        <w:rPr>
          <w:rFonts w:ascii="Noto Sans" w:hAnsi="Noto Sans"/>
          <w:i w:val="false"/>
          <w:iCs w:val="false"/>
        </w:rPr>
        <w:t xml:space="preserve">GridSearchCV </w:t>
      </w:r>
      <w:r>
        <w:rPr>
          <w:rFonts w:ascii="Noto Sans" w:hAnsi="Noto Sans"/>
          <w:i w:val="false"/>
          <w:iCs w:val="false"/>
        </w:rPr>
        <w:t xml:space="preserve">e RandomizedSearchCV </w:t>
      </w:r>
      <w:r>
        <w:rPr>
          <w:rFonts w:ascii="Noto Sans" w:hAnsi="Noto Sans"/>
          <w:i w:val="false"/>
          <w:iCs w:val="false"/>
        </w:rPr>
        <w:t>su un subset ridotto del dataset originale.</w:t>
      </w:r>
    </w:p>
    <w:p>
      <w:pPr>
        <w:pStyle w:val="BodyText"/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 xml:space="preserve">La RandomizedSearchCV sembra aver dato i risultati migliori in un tempo minore (circa 30 minuti contro i 46 della GridSearchCV). </w:t>
      </w:r>
      <w:r>
        <w:rPr>
          <w:rFonts w:ascii="Noto Sans" w:hAnsi="Noto Sans"/>
          <w:i w:val="false"/>
          <w:iCs w:val="false"/>
        </w:rPr>
        <w:t>Gli iperparametri migliori sono quindi:</w:t>
      </w:r>
    </w:p>
    <w:p>
      <w:pPr>
        <w:pStyle w:val="BodyText"/>
        <w:numPr>
          <w:ilvl w:val="0"/>
          <w:numId w:val="8"/>
        </w:numPr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>n_estimators: 300,</w:t>
      </w:r>
    </w:p>
    <w:p>
      <w:pPr>
        <w:pStyle w:val="BodyText"/>
        <w:numPr>
          <w:ilvl w:val="0"/>
          <w:numId w:val="8"/>
        </w:numPr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>min_samples_split: 5,</w:t>
      </w:r>
    </w:p>
    <w:p>
      <w:pPr>
        <w:pStyle w:val="BodyText"/>
        <w:numPr>
          <w:ilvl w:val="0"/>
          <w:numId w:val="8"/>
        </w:numPr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>min_samples_leaf: 1,</w:t>
      </w:r>
    </w:p>
    <w:p>
      <w:pPr>
        <w:pStyle w:val="BodyText"/>
        <w:numPr>
          <w:ilvl w:val="0"/>
          <w:numId w:val="8"/>
        </w:numPr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>max_depth: 20,</w:t>
      </w:r>
    </w:p>
    <w:p>
      <w:pPr>
        <w:pStyle w:val="BodyText"/>
        <w:numPr>
          <w:ilvl w:val="0"/>
          <w:numId w:val="8"/>
        </w:numPr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>criterion: entropy</w:t>
      </w:r>
    </w:p>
    <w:p>
      <w:pPr>
        <w:pStyle w:val="BodyText"/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>La top 10 delle combinazioni migliori è:</w:t>
      </w:r>
    </w:p>
    <w:p>
      <w:pPr>
        <w:pStyle w:val="BodyText"/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557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5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ind w:hanging="0" w:start="0"/>
        <w:jc w:val="start"/>
        <w:rPr/>
      </w:pPr>
      <w:r>
        <w:rPr/>
        <w:t>Valutazione del risultato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Prima di stampare i risultati </w:t>
      </w:r>
      <w:r>
        <w:rPr>
          <w:rFonts w:ascii="Noto Sans" w:hAnsi="Noto Sans"/>
        </w:rPr>
        <w:t>sono stati</w:t>
      </w:r>
      <w:r>
        <w:rPr>
          <w:rFonts w:ascii="Noto Sans" w:hAnsi="Noto Sans"/>
        </w:rPr>
        <w:t xml:space="preserve"> eseguiti </w:t>
      </w:r>
      <w:r>
        <w:rPr>
          <w:rFonts w:ascii="Noto Sans" w:hAnsi="Noto Sans"/>
        </w:rPr>
        <w:t xml:space="preserve">vari esperimenti </w:t>
      </w:r>
      <w:r>
        <w:rPr>
          <w:rFonts w:ascii="Noto Sans" w:hAnsi="Noto Sans"/>
        </w:rPr>
        <w:t xml:space="preserve">sul threshold di decisione del modello </w:t>
      </w:r>
      <w:r>
        <w:rPr>
          <w:rFonts w:ascii="Noto Sans" w:hAnsi="Noto Sans"/>
        </w:rPr>
        <w:t>(funzione ‘</w:t>
      </w:r>
      <w:r>
        <w:rPr>
          <w:rFonts w:ascii="Noto Sans" w:hAnsi="Noto Sans"/>
          <w:i/>
          <w:iCs/>
        </w:rPr>
        <w:t>evaluate</w:t>
      </w:r>
      <w:r>
        <w:rPr>
          <w:rFonts w:ascii="Noto Sans" w:hAnsi="Noto Sans"/>
          <w:i w:val="false"/>
          <w:iCs w:val="false"/>
        </w:rPr>
        <w:t>’</w:t>
      </w:r>
      <w:r>
        <w:rPr>
          <w:rFonts w:ascii="Noto Sans" w:hAnsi="Noto Sans"/>
        </w:rPr>
        <w:t>)</w:t>
      </w:r>
      <w:r>
        <w:rPr>
          <w:rFonts w:ascii="Noto Sans" w:hAnsi="Noto Sans"/>
        </w:rPr>
        <w:t xml:space="preserve"> </w:t>
      </w:r>
      <w:r>
        <w:rPr>
          <w:rFonts w:ascii="Noto Sans" w:hAnsi="Noto Sans"/>
        </w:rPr>
        <w:t>per raggiungere un valore di recall accettabile.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drawing>
          <wp:inline distT="0" distB="0" distL="0" distR="0">
            <wp:extent cx="5486400" cy="4572000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Funzione </w:t>
      </w:r>
      <w:r>
        <w:rPr>
          <w:b w:val="false"/>
          <w:bCs w:val="false"/>
          <w:i/>
          <w:iCs/>
        </w:rPr>
        <w:t>‘feature_importance’</w:t>
      </w:r>
      <w:r>
        <w:rPr>
          <w:i w:val="false"/>
          <w:iCs w:val="false"/>
        </w:rPr>
        <w:t>:</w:t>
      </w:r>
    </w:p>
    <w:p>
      <w:pPr>
        <w:pStyle w:val="BodyText"/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 xml:space="preserve">La funzione </w:t>
      </w:r>
      <w:r>
        <w:rPr>
          <w:rFonts w:ascii="Noto Sans" w:hAnsi="Noto Sans"/>
          <w:i w:val="false"/>
          <w:iCs w:val="false"/>
        </w:rPr>
        <w:t>mostra</w:t>
      </w:r>
      <w:r>
        <w:rPr>
          <w:rFonts w:ascii="Noto Sans" w:hAnsi="Noto Sans"/>
          <w:i w:val="false"/>
          <w:iCs w:val="false"/>
        </w:rPr>
        <w:t xml:space="preserve"> le dieci feature più importanti per il modello.</w:t>
      </w:r>
    </w:p>
    <w:p>
      <w:pPr>
        <w:pStyle w:val="BodyText"/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>Il risultato</w:t>
      </w:r>
      <w:r>
        <w:rPr>
          <w:rFonts w:ascii="Noto Sans" w:hAnsi="Noto Sans"/>
          <w:i w:val="false"/>
          <w:iCs w:val="false"/>
        </w:rPr>
        <w:t xml:space="preserve"> è:</w:t>
      </w:r>
    </w:p>
    <w:p>
      <w:pPr>
        <w:pStyle w:val="BodyText"/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drawing>
          <wp:inline distT="0" distB="0" distL="0" distR="0">
            <wp:extent cx="6120130" cy="367157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  <w:t xml:space="preserve">Questo </w:t>
      </w:r>
      <w:r>
        <w:rPr>
          <w:rFonts w:ascii="Noto Sans" w:hAnsi="Noto Sans"/>
          <w:i w:val="false"/>
          <w:iCs w:val="false"/>
        </w:rPr>
        <w:t xml:space="preserve">grafico motra le features </w:t>
      </w:r>
      <w:r>
        <w:rPr>
          <w:rFonts w:ascii="Noto Sans" w:hAnsi="Noto Sans"/>
          <w:i w:val="false"/>
          <w:iCs w:val="false"/>
        </w:rPr>
        <w:t xml:space="preserve">più importanti, </w:t>
      </w:r>
      <w:r>
        <w:rPr>
          <w:rFonts w:ascii="Noto Sans" w:hAnsi="Noto Sans"/>
          <w:i w:val="false"/>
          <w:iCs w:val="false"/>
        </w:rPr>
        <w:t>cioé quelle che il modello va ad utilizzare più spesso quando deve classificare un campione.</w:t>
      </w:r>
    </w:p>
    <w:p>
      <w:pPr>
        <w:pStyle w:val="Heading2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Dst Port (Destination Port)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La porta di destinazione del traffico di rete (es. 80 HTTP, 443 HTTPS, 22 SSH).</w:t>
        <w:br/>
        <w:t>È una feature molto importante perché molti attacchi si concentrano su porte specifiche o servizi vulnerabili.</w:t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Init Fwd Win Byts (Initial Forward Window Bytes)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Indica la dimensione iniziale della finestra TCP nella direzione forward.</w:t>
        <w:br/>
        <w:t>Rappresenta la quantità di dati che possono essere inviati prima di ricevere una conferma (ACK). È utile per identificare comportamenti anomali nelle connessioni TCP.</w:t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Fwd Seg Size Min (Forward Segment Size Minimum)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Indica la dimensione minima dei segmenti TCP inviati in direzione forward.</w:t>
        <w:br/>
        <w:t>Può aiutare a individuare traffico frammentato o non standard, spesso associato ad attività sospette.</w:t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FIN Flag Cnt (FIN Flag Count)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Conta il numero di pacchetti con flag FIN, utilizzati per terminare una connessione TCP.</w:t>
        <w:br/>
        <w:t>Valori anomali possono indicare chiusure di connessione sospette o non normali.</w:t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Active Std (Active Standard Deviation)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Misura la variabilità del tempo in cui una connessione è attiva.</w:t>
        <w:br/>
        <w:t>Serve a identificare traffico instabile o automatizzato.</w:t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Bwd Pkts/b Avg (Backward Packets per Byte Average)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Rappresenta la media dei pacchetti nella direzione backward rispetto ai byte trasferiti.</w:t>
        <w:br/>
        <w:t xml:space="preserve">Aiuta a comprendere il comportamento della comunicazione </w:t>
      </w:r>
      <w:r>
        <w:rPr>
          <w:rFonts w:ascii="Noto Sans" w:hAnsi="Noto Sans"/>
        </w:rPr>
        <w:t xml:space="preserve">da </w:t>
      </w:r>
      <w:r>
        <w:rPr>
          <w:rFonts w:ascii="Noto Sans" w:hAnsi="Noto Sans"/>
        </w:rPr>
        <w:t xml:space="preserve">server </w:t>
      </w:r>
      <w:r>
        <w:rPr>
          <w:rFonts w:ascii="Noto Sans" w:hAnsi="Noto Sans"/>
        </w:rPr>
        <w:t>a</w:t>
      </w:r>
      <w:r>
        <w:rPr>
          <w:rFonts w:ascii="Noto Sans" w:hAnsi="Noto Sans"/>
        </w:rPr>
        <w:t xml:space="preserve"> client.</w:t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Bwd PSH Flags (Backward PSH Flags)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Conta i flag PSH (Push) nella direzione backward.</w:t>
        <w:br/>
        <w:t>Questi flag indicano che i dati devono essere immediatamente consegnati all’applicazione.</w:t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Fwd Blk Rate Avg (Forward Block Rate Average)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Indica la velocità media con cui il traffico forward viene bloccato o rallentato.</w:t>
        <w:br/>
        <w:t>Può essere utile per rilevare congestione o attività anomale.</w:t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Bwd URG Flags (Backward URG Flags)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Conta i flag URG (urgent) nel traffico backward.</w:t>
        <w:br/>
        <w:t>Questi flag sono rari nel traffico normale e possono indicare comportamenti sospetti.</w:t>
      </w:r>
    </w:p>
    <w:p>
      <w:pPr>
        <w:pStyle w:val="Heading2"/>
        <w:numPr>
          <w:ilvl w:val="1"/>
          <w:numId w:val="10"/>
        </w:numPr>
        <w:bidi w:val="0"/>
        <w:spacing w:lineRule="auto" w:line="276" w:before="0" w:after="140"/>
        <w:jc w:val="start"/>
        <w:rPr>
          <w:rFonts w:ascii="Noto Sans" w:hAnsi="Noto Sans"/>
        </w:rPr>
      </w:pPr>
      <w:r>
        <w:rPr>
          <w:rFonts w:ascii="Noto Sans" w:hAnsi="Noto Sans"/>
        </w:rPr>
        <w:t>Fwd Byts/b Avg (Forward Bytes per Burst Average)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Indica la quantità media di byte trasmessi per burst nella direzione forward.</w:t>
        <w:br/>
        <w:t>Serve a descrivere la densità del traffico in uscita.</w:t>
      </w:r>
    </w:p>
    <w:p>
      <w:pPr>
        <w:pStyle w:val="Heading2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>
          <w:rFonts w:ascii="Noto Sans" w:hAnsi="Noto Sans"/>
        </w:rPr>
      </w:pPr>
      <w:r>
        <w:rPr>
          <w:rFonts w:ascii="Noto Sans" w:hAnsi="Noto Sans"/>
        </w:rPr>
        <w:t>Conclusione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Il modello si basa principalmente su due feature: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Dst Port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Noto Sans" w:hAnsi="Noto Sans"/>
        </w:rPr>
      </w:pPr>
      <w:r>
        <w:rPr>
          <w:rFonts w:ascii="Noto Sans" w:hAnsi="Noto Sans"/>
        </w:rPr>
        <w:t xml:space="preserve">Init Fwd Win Byts </w:t>
      </w:r>
    </w:p>
    <w:p>
      <w:pPr>
        <w:pStyle w:val="BodyText"/>
        <w:bidi w:val="0"/>
        <w:jc w:val="start"/>
        <w:rPr>
          <w:rFonts w:ascii="Noto Sans" w:hAnsi="Noto Sans"/>
        </w:rPr>
      </w:pPr>
      <w:r>
        <w:rPr>
          <w:rFonts w:ascii="Noto Sans" w:hAnsi="Noto Sans"/>
        </w:rPr>
        <w:t>Le altre feature contribuiscono in modo secondario ma aiutano a migliorare la precisione nella rilevazione di traffico anomalo o malevolo.</w:t>
      </w:r>
    </w:p>
    <w:p>
      <w:pPr>
        <w:pStyle w:val="BodyText"/>
        <w:bidi w:val="0"/>
        <w:spacing w:before="0" w:after="140"/>
        <w:jc w:val="start"/>
        <w:rPr>
          <w:rFonts w:ascii="Noto Sans" w:hAnsi="Noto Sans"/>
          <w:i w:val="false"/>
          <w:iCs w:val="false"/>
        </w:rPr>
      </w:pPr>
      <w:r>
        <w:rPr>
          <w:rFonts w:ascii="Noto Sans" w:hAnsi="Noto Sans"/>
          <w:i w:val="false"/>
          <w:iCs w:val="false"/>
        </w:rPr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hyperlink r:id="rId1">
        <w:r>
          <w:rPr>
            <w:rStyle w:val="Hyperlink"/>
          </w:rPr>
          <w:tab/>
          <w:t>https://www.kaggle.com/datasets/solarmainframe/ids-intrusion-csv/data</w:t>
        </w:r>
      </w:hyperlink>
    </w:p>
  </w:footnote>
  <w:footnote w:id="3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ab/>
        <w:t>Per Fwd Pkt si intendono pacchetti che viaggiano dal client al server, mentre i Bwd Pkt viaggiano dal server al client.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www.kaggle.com/code/azazurrehmanbutt/cicids-ids-2018-using-cnn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www.kaggle.com/datasets/solarmainframe/ids-intrusion-csv/data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</TotalTime>
  <Application>LibreOffice/25.8.6.2$Linux_X86_64 LibreOffice_project/580$Build-2</Application>
  <AppVersion>15.0000</AppVersion>
  <Pages>8</Pages>
  <Words>990</Words>
  <Characters>5414</Characters>
  <CharactersWithSpaces>6306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2026-04-29T17:21:20Z</dcterms:created>
  <dc:creator/>
  <dc:description/>
  <dc:language>en-US</dc:language>
  <cp:lastModifiedBy/>
  <dcterms:modified xsi:type="dcterms:W3CDTF">2026-05-11T19:39:22Z</dcterms:modified>
  <cp:revision>27</cp:revision>
  <dc:subject/>
  <dc:title/>
</cp:coreProperties>
</file>