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ind w:firstLine="0"/>
        <w:jc w:val="center"/>
      </w:pPr>
      <w:r>
        <w:drawing>
          <wp:inline xmlns:a="http://schemas.openxmlformats.org/drawingml/2006/main" xmlns:pic="http://schemas.openxmlformats.org/drawingml/2006/picture">
            <wp:extent cx="2286000" cy="1314450"/>
            <wp:docPr id="1" name="Picture 1"/>
            <wp:cNvGraphicFramePr>
              <a:graphicFrameLocks noChangeAspect="1"/>
            </wp:cNvGraphicFramePr>
            <a:graphic>
              <a:graphicData uri="http://schemas.openxmlformats.org/drawingml/2006/picture">
                <pic:pic>
                  <pic:nvPicPr>
                    <pic:cNvPr id="0" name="logo_unan_bw.png"/>
                    <pic:cNvPicPr/>
                  </pic:nvPicPr>
                  <pic:blipFill>
                    <a:blip r:embed="rId10"/>
                    <a:stretch>
                      <a:fillRect/>
                    </a:stretch>
                  </pic:blipFill>
                  <pic:spPr>
                    <a:xfrm>
                      <a:off x="0" y="0"/>
                      <a:ext cx="2286000" cy="1314450"/>
                    </a:xfrm>
                    <a:prstGeom prst="rect"/>
                  </pic:spPr>
                </pic:pic>
              </a:graphicData>
            </a:graphic>
          </wp:inline>
        </w:drawing>
      </w:r>
    </w:p>
    <w:p>
      <w:pPr>
        <w:spacing w:before="400" w:after="360" w:line="360" w:lineRule="auto"/>
        <w:ind w:firstLine="0"/>
        <w:jc w:val="center"/>
      </w:pPr>
      <w:r>
        <w:rPr>
          <w:rFonts w:ascii="Times New Roman" w:hAnsi="Times New Roman"/>
          <w:b/>
          <w:color w:val="000000"/>
          <w:sz w:val="24"/>
        </w:rPr>
        <w:t>Análisis del Sistema Transaccional (OLTP), Definición del Data Warehouse (DentalDW)</w:t>
        <w:br/>
        <w:t>y Diseño del Esquema Estrella:</w:t>
        <w:br/>
        <w:t>Caso de Estudio Clínica Odontológica Dental House</w:t>
      </w:r>
    </w:p>
    <w:p>
      <w:pPr>
        <w:spacing w:before="320" w:after="280" w:line="312" w:lineRule="auto"/>
        <w:ind w:firstLine="0"/>
        <w:jc w:val="center"/>
      </w:pPr>
      <w:r>
        <w:rPr>
          <w:rFonts w:ascii="Times New Roman" w:hAnsi="Times New Roman"/>
          <w:color w:val="000000"/>
          <w:sz w:val="24"/>
        </w:rPr>
        <w:t>Bra. Arellys Nicole Aguirre Ortega (Carné #24902946)</w:t>
        <w:br/>
      </w:r>
      <w:r>
        <w:rPr>
          <w:rFonts w:ascii="Times New Roman" w:hAnsi="Times New Roman"/>
          <w:color w:val="000000"/>
          <w:sz w:val="24"/>
        </w:rPr>
        <w:t>Bra. Katya Alexandra Arévalo Rodríguez (Carné #24747483)</w:t>
        <w:br/>
      </w:r>
      <w:r>
        <w:rPr>
          <w:rFonts w:ascii="Times New Roman" w:hAnsi="Times New Roman"/>
          <w:color w:val="000000"/>
          <w:sz w:val="24"/>
        </w:rPr>
        <w:t>Ba. Alvaro Iván Medrano Jirón (Carné #24903188)</w:t>
        <w:br/>
      </w:r>
      <w:r>
        <w:rPr>
          <w:rFonts w:ascii="Times New Roman" w:hAnsi="Times New Roman"/>
          <w:color w:val="000000"/>
          <w:sz w:val="24"/>
        </w:rPr>
        <w:t>Br. Alex Humberto Obando Baltodano (Carné #24902980)</w:t>
        <w:br/>
      </w:r>
    </w:p>
    <w:p>
      <w:pPr>
        <w:spacing w:before="240" w:after="0" w:line="312" w:lineRule="auto"/>
        <w:ind w:firstLine="0"/>
        <w:jc w:val="center"/>
      </w:pPr>
      <w:r>
        <w:rPr>
          <w:rFonts w:ascii="Times New Roman" w:hAnsi="Times New Roman"/>
          <w:color w:val="000000"/>
          <w:sz w:val="24"/>
        </w:rPr>
        <w:t>Departamento de Computación, Facultad de Ciencias e Ingeniería,</w:t>
        <w:br/>
        <w:t>Universidad Nacional Autónoma de Nicaragua, Managua (UNAN-Managua)</w:t>
        <w:br/>
        <w:t>Base de Datos Analítica</w:t>
        <w:br/>
        <w:t>Prof. Samuel Zeledón Molina</w:t>
        <w:br/>
        <w:t>20 de septiembre de 2026</w:t>
      </w:r>
    </w:p>
    <w:p>
      <w:r>
        <w:br w:type="page"/>
      </w:r>
    </w:p>
    <w:p>
      <w:pPr>
        <w:spacing w:before="240" w:after="120"/>
        <w:ind w:firstLine="0"/>
        <w:jc w:val="center"/>
      </w:pPr>
      <w:r>
        <w:rPr>
          <w:rFonts w:ascii="Times New Roman" w:hAnsi="Times New Roman"/>
          <w:b/>
          <w:color w:val="000000"/>
          <w:sz w:val="24"/>
        </w:rPr>
        <w:t>Análisis del Sistema Transaccional (OLTP - Dental House)</w:t>
      </w:r>
    </w:p>
    <w:p>
      <w:pPr>
        <w:spacing w:before="200" w:after="80"/>
        <w:ind w:firstLine="0"/>
        <w:jc w:val="left"/>
      </w:pPr>
      <w:r>
        <w:rPr>
          <w:rFonts w:ascii="Times New Roman" w:hAnsi="Times New Roman"/>
          <w:b/>
          <w:color w:val="000000"/>
          <w:sz w:val="24"/>
        </w:rPr>
        <w:t>Propósito y Funcionamiento del OLTP</w:t>
      </w:r>
    </w:p>
    <w:p>
      <w:pPr>
        <w:spacing w:line="360" w:lineRule="auto" w:after="0" w:before="0"/>
        <w:ind w:firstLine="720"/>
        <w:jc w:val="both"/>
      </w:pPr>
      <w:r>
        <w:rPr>
          <w:rFonts w:ascii="Times New Roman" w:hAnsi="Times New Roman"/>
          <w:color w:val="000000"/>
          <w:sz w:val="24"/>
        </w:rPr>
        <w:t>El sistema de procesamiento de transacciones en línea (OLTP, por sus siglas en inglés) de la clínica Dental House se encuentra implementado en la base de datos relacional Dental_Prueba en Microsoft SQL Server. Tal como explican Elmasri y Navathe (2016), los entornos OLTP están concebidos para garantizar la atomicidad, consistencia, aislamiento y durabilidad (propiedades ACID) en cada transacción operacional cotidiana. En Dental House, este sistema atiende de forma concurrente el agendamiento diario de citas odontológicas, el alta y modificación de registros de pacientes, la asignación de médicos tratantes, el seguimiento del estado clínico de la consulta y el cobro financiero de los procedimientos prestados en recepción.</w:t>
      </w:r>
    </w:p>
    <w:p>
      <w:pPr>
        <w:spacing w:line="360" w:lineRule="auto" w:after="0" w:before="0"/>
        <w:ind w:firstLine="720"/>
        <w:jc w:val="both"/>
      </w:pPr>
      <w:r>
        <w:rPr>
          <w:rFonts w:ascii="Times New Roman" w:hAnsi="Times New Roman"/>
          <w:color w:val="000000"/>
          <w:sz w:val="24"/>
        </w:rPr>
        <w:t>La arquitectura del motor transaccional prioriza inserciones y actualizaciones inmediatas por encima del procesamiento analítico complejo. Cada evento transaccional representa una interacción puntual con clientes o personal médico, asegurando que no existan inconsistencias ni pérdida de comprobantes al facturar servicios de salud bucal.</w:t>
      </w:r>
    </w:p>
    <w:p>
      <w:pPr>
        <w:spacing w:before="200" w:after="80"/>
        <w:ind w:firstLine="0"/>
        <w:jc w:val="left"/>
      </w:pPr>
      <w:r>
        <w:rPr>
          <w:rFonts w:ascii="Times New Roman" w:hAnsi="Times New Roman"/>
          <w:b/>
          <w:color w:val="000000"/>
          <w:sz w:val="24"/>
        </w:rPr>
        <w:t>Entidades Principales del Modelo Transaccional</w:t>
      </w:r>
    </w:p>
    <w:p>
      <w:pPr>
        <w:spacing w:line="360" w:lineRule="auto" w:after="0" w:before="0"/>
        <w:ind w:firstLine="720"/>
        <w:jc w:val="both"/>
      </w:pPr>
      <w:r>
        <w:rPr>
          <w:rFonts w:ascii="Times New Roman" w:hAnsi="Times New Roman"/>
          <w:color w:val="000000"/>
          <w:sz w:val="24"/>
        </w:rPr>
        <w:t>La base de datos relacional Dental_Prueba consta de 16 tablas diseñadas en conformidad con la Tercera Forma Normal (3FN), lo que permite minimizar la redundancia de datos y garantizar la integridad referencial. Las entidades clave que sustentan la operativa dental se presentan en la Tabla 1.</w:t>
      </w:r>
    </w:p>
    <w:p>
      <w:pPr>
        <w:spacing w:before="200" w:after="40"/>
        <w:ind w:firstLine="0"/>
      </w:pPr>
      <w:r>
        <w:rPr>
          <w:rFonts w:ascii="Times New Roman" w:hAnsi="Times New Roman"/>
          <w:b/>
          <w:color w:val="000000"/>
          <w:sz w:val="24"/>
        </w:rPr>
        <w:t>Tabla 1</w:t>
      </w:r>
    </w:p>
    <w:p>
      <w:pPr>
        <w:spacing w:before="0" w:after="80"/>
        <w:ind w:firstLine="0"/>
      </w:pPr>
      <w:r>
        <w:rPr>
          <w:rFonts w:ascii="Times New Roman" w:hAnsi="Times New Roman"/>
          <w:i/>
          <w:color w:val="000000"/>
          <w:sz w:val="24"/>
        </w:rPr>
        <w:t>Entidades Principales y Descripción Operacional de la Base de Datos Dental_Prueba</w:t>
      </w:r>
    </w:p>
    <w:tbl>
      <w:tblPr>
        <w:tblW w:type="auto" w:w="0"/>
        <w:jc w:val="center"/>
        <w:tblLook w:firstColumn="1" w:firstRow="1" w:lastColumn="0" w:lastRow="0" w:noHBand="0" w:noVBand="1" w:val="04A0"/>
        <w:tblBorders>
          <w:top w:val="single" w:sz="8" w:space="0" w:color="000000"/>
          <w:bottom w:val="single" w:sz="8" w:space="0" w:color="000000"/>
          <w:left w:val="none"/>
          <w:right w:val="none"/>
          <w:insideV w:val="none"/>
          <w:insideH w:val="none"/>
        </w:tblBorders>
      </w:tblPr>
      <w:tblGrid>
        <w:gridCol w:w="3120"/>
        <w:gridCol w:w="3120"/>
        <w:gridCol w:w="3120"/>
      </w:tblGrid>
      <w:tr>
        <w:tc>
          <w:tcPr>
            <w:tcW w:type="dxa" w:w="3120"/>
            <w:tcBorders>
              <w:bottom w:val="single" w:sz="8" w:space="0" w:color="000000"/>
              <w:top w:val="none"/>
              <w:left w:val="none"/>
              <w:right w:val="none"/>
            </w:tcBorders>
            <w:tcMar>
              <w:top w:w="80" w:type="dxa"/>
              <w:bottom w:w="80" w:type="dxa"/>
              <w:left w:w="100" w:type="dxa"/>
              <w:right w:w="100" w:type="dxa"/>
            </w:tcMar>
          </w:tcPr>
          <w:p>
            <w:pPr>
              <w:ind w:firstLine="0"/>
              <w:jc w:val="left"/>
            </w:pPr>
            <w:r>
              <w:rPr>
                <w:rFonts w:ascii="Times New Roman" w:hAnsi="Times New Roman"/>
                <w:b/>
                <w:color w:val="000000"/>
                <w:sz w:val="22"/>
              </w:rPr>
              <w:t>Tabla OLTP</w:t>
            </w:r>
          </w:p>
        </w:tc>
        <w:tc>
          <w:tcPr>
            <w:tcW w:type="dxa" w:w="3120"/>
            <w:tcBorders>
              <w:bottom w:val="single" w:sz="8" w:space="0" w:color="000000"/>
              <w:top w:val="none"/>
              <w:left w:val="none"/>
              <w:right w:val="none"/>
            </w:tcBorders>
            <w:tcMar>
              <w:top w:w="80" w:type="dxa"/>
              <w:bottom w:w="80" w:type="dxa"/>
              <w:left w:w="100" w:type="dxa"/>
              <w:right w:w="100" w:type="dxa"/>
            </w:tcMar>
          </w:tcPr>
          <w:p>
            <w:pPr>
              <w:ind w:firstLine="0"/>
              <w:jc w:val="left"/>
            </w:pPr>
            <w:r>
              <w:rPr>
                <w:rFonts w:ascii="Times New Roman" w:hAnsi="Times New Roman"/>
                <w:b/>
                <w:color w:val="000000"/>
                <w:sz w:val="22"/>
              </w:rPr>
              <w:t>Atributos Principales</w:t>
            </w:r>
          </w:p>
        </w:tc>
        <w:tc>
          <w:tcPr>
            <w:tcW w:type="dxa" w:w="3120"/>
            <w:tcBorders>
              <w:bottom w:val="single" w:sz="8" w:space="0" w:color="000000"/>
              <w:top w:val="none"/>
              <w:left w:val="none"/>
              <w:right w:val="none"/>
            </w:tcBorders>
            <w:tcMar>
              <w:top w:w="80" w:type="dxa"/>
              <w:bottom w:w="80" w:type="dxa"/>
              <w:left w:w="100" w:type="dxa"/>
              <w:right w:w="100" w:type="dxa"/>
            </w:tcMar>
          </w:tcPr>
          <w:p>
            <w:pPr>
              <w:ind w:firstLine="0"/>
              <w:jc w:val="left"/>
            </w:pPr>
            <w:r>
              <w:rPr>
                <w:rFonts w:ascii="Times New Roman" w:hAnsi="Times New Roman"/>
                <w:b/>
                <w:color w:val="000000"/>
                <w:sz w:val="22"/>
              </w:rPr>
              <w:t>Función Operativa en la Clínica</w:t>
            </w:r>
          </w:p>
        </w:tc>
      </w:tr>
      <w:tr>
        <w:tc>
          <w:tcPr>
            <w:tcW w:type="dxa" w:w="3120"/>
            <w:tcMar>
              <w:top w:w="60" w:type="dxa"/>
              <w:bottom w:w="60" w:type="dxa"/>
              <w:left w:w="100" w:type="dxa"/>
              <w:right w:w="100" w:type="dxa"/>
            </w:tcMar>
          </w:tcPr>
          <w:p>
            <w:pPr>
              <w:ind w:firstLine="0"/>
              <w:jc w:val="left"/>
            </w:pPr>
            <w:r>
              <w:rPr>
                <w:rFonts w:ascii="Times New Roman" w:hAnsi="Times New Roman"/>
                <w:color w:val="000000"/>
                <w:sz w:val="21"/>
              </w:rPr>
              <w:t>Patient</w:t>
            </w:r>
          </w:p>
        </w:tc>
        <w:tc>
          <w:tcPr>
            <w:tcW w:type="dxa" w:w="3120"/>
            <w:tcMar>
              <w:top w:w="60" w:type="dxa"/>
              <w:bottom w:w="60" w:type="dxa"/>
              <w:left w:w="100" w:type="dxa"/>
              <w:right w:w="100" w:type="dxa"/>
            </w:tcMar>
          </w:tcPr>
          <w:p>
            <w:pPr>
              <w:ind w:firstLine="0"/>
              <w:jc w:val="left"/>
            </w:pPr>
            <w:r>
              <w:rPr>
                <w:rFonts w:ascii="Times New Roman" w:hAnsi="Times New Roman"/>
                <w:color w:val="000000"/>
                <w:sz w:val="21"/>
              </w:rPr>
              <w:t>PatientId, FirstName, LastName, Phone, Address, BirthDate, IsActive</w:t>
            </w:r>
          </w:p>
        </w:tc>
        <w:tc>
          <w:tcPr>
            <w:tcW w:type="dxa" w:w="3120"/>
            <w:tcMar>
              <w:top w:w="60" w:type="dxa"/>
              <w:bottom w:w="60" w:type="dxa"/>
              <w:left w:w="100" w:type="dxa"/>
              <w:right w:w="100" w:type="dxa"/>
            </w:tcMar>
          </w:tcPr>
          <w:p>
            <w:pPr>
              <w:ind w:firstLine="0"/>
              <w:jc w:val="left"/>
            </w:pPr>
            <w:r>
              <w:rPr>
                <w:rFonts w:ascii="Times New Roman" w:hAnsi="Times New Roman"/>
                <w:color w:val="000000"/>
                <w:sz w:val="21"/>
              </w:rPr>
              <w:t>Almacena los datos personales, demográficos y de contacto de los pacientes atendidos.</w:t>
            </w:r>
          </w:p>
        </w:tc>
      </w:tr>
      <w:tr>
        <w:tc>
          <w:tcPr>
            <w:tcW w:type="dxa" w:w="3120"/>
            <w:tcMar>
              <w:top w:w="60" w:type="dxa"/>
              <w:bottom w:w="60" w:type="dxa"/>
              <w:left w:w="100" w:type="dxa"/>
              <w:right w:w="100" w:type="dxa"/>
            </w:tcMar>
          </w:tcPr>
          <w:p>
            <w:pPr>
              <w:ind w:firstLine="0"/>
              <w:jc w:val="left"/>
            </w:pPr>
            <w:r>
              <w:rPr>
                <w:rFonts w:ascii="Times New Roman" w:hAnsi="Times New Roman"/>
                <w:color w:val="000000"/>
                <w:sz w:val="21"/>
              </w:rPr>
              <w:t>Doctor</w:t>
            </w:r>
          </w:p>
        </w:tc>
        <w:tc>
          <w:tcPr>
            <w:tcW w:type="dxa" w:w="3120"/>
            <w:tcMar>
              <w:top w:w="60" w:type="dxa"/>
              <w:bottom w:w="60" w:type="dxa"/>
              <w:left w:w="100" w:type="dxa"/>
              <w:right w:w="100" w:type="dxa"/>
            </w:tcMar>
          </w:tcPr>
          <w:p>
            <w:pPr>
              <w:ind w:firstLine="0"/>
              <w:jc w:val="left"/>
            </w:pPr>
            <w:r>
              <w:rPr>
                <w:rFonts w:ascii="Times New Roman" w:hAnsi="Times New Roman"/>
                <w:color w:val="000000"/>
                <w:sz w:val="21"/>
              </w:rPr>
              <w:t>DoctorId, FirstName, LastName, Phone, IsActive</w:t>
            </w:r>
          </w:p>
        </w:tc>
        <w:tc>
          <w:tcPr>
            <w:tcW w:type="dxa" w:w="3120"/>
            <w:tcMar>
              <w:top w:w="60" w:type="dxa"/>
              <w:bottom w:w="60" w:type="dxa"/>
              <w:left w:w="100" w:type="dxa"/>
              <w:right w:w="100" w:type="dxa"/>
            </w:tcMar>
          </w:tcPr>
          <w:p>
            <w:pPr>
              <w:ind w:firstLine="0"/>
              <w:jc w:val="left"/>
            </w:pPr>
            <w:r>
              <w:rPr>
                <w:rFonts w:ascii="Times New Roman" w:hAnsi="Times New Roman"/>
                <w:color w:val="000000"/>
                <w:sz w:val="21"/>
              </w:rPr>
              <w:t>Mantiene el registro de los odontólogos y profesionales que laboran en la institución.</w:t>
            </w:r>
          </w:p>
        </w:tc>
      </w:tr>
      <w:tr>
        <w:tc>
          <w:tcPr>
            <w:tcW w:type="dxa" w:w="3120"/>
            <w:tcMar>
              <w:top w:w="60" w:type="dxa"/>
              <w:bottom w:w="60" w:type="dxa"/>
              <w:left w:w="100" w:type="dxa"/>
              <w:right w:w="100" w:type="dxa"/>
            </w:tcMar>
          </w:tcPr>
          <w:p>
            <w:pPr>
              <w:ind w:firstLine="0"/>
              <w:jc w:val="left"/>
            </w:pPr>
            <w:r>
              <w:rPr>
                <w:rFonts w:ascii="Times New Roman" w:hAnsi="Times New Roman"/>
                <w:color w:val="000000"/>
                <w:sz w:val="21"/>
              </w:rPr>
              <w:t>Specialty / DoctorSpecialty</w:t>
            </w:r>
          </w:p>
        </w:tc>
        <w:tc>
          <w:tcPr>
            <w:tcW w:type="dxa" w:w="3120"/>
            <w:tcMar>
              <w:top w:w="60" w:type="dxa"/>
              <w:bottom w:w="60" w:type="dxa"/>
              <w:left w:w="100" w:type="dxa"/>
              <w:right w:w="100" w:type="dxa"/>
            </w:tcMar>
          </w:tcPr>
          <w:p>
            <w:pPr>
              <w:ind w:firstLine="0"/>
              <w:jc w:val="left"/>
            </w:pPr>
            <w:r>
              <w:rPr>
                <w:rFonts w:ascii="Times New Roman" w:hAnsi="Times New Roman"/>
                <w:color w:val="000000"/>
                <w:sz w:val="21"/>
              </w:rPr>
              <w:t>SpecialtyId, SpecialtyName, DoctorId</w:t>
            </w:r>
          </w:p>
        </w:tc>
        <w:tc>
          <w:tcPr>
            <w:tcW w:type="dxa" w:w="3120"/>
            <w:tcMar>
              <w:top w:w="60" w:type="dxa"/>
              <w:bottom w:w="60" w:type="dxa"/>
              <w:left w:w="100" w:type="dxa"/>
              <w:right w:w="100" w:type="dxa"/>
            </w:tcMar>
          </w:tcPr>
          <w:p>
            <w:pPr>
              <w:ind w:firstLine="0"/>
              <w:jc w:val="left"/>
            </w:pPr>
            <w:r>
              <w:rPr>
                <w:rFonts w:ascii="Times New Roman" w:hAnsi="Times New Roman"/>
                <w:color w:val="000000"/>
                <w:sz w:val="21"/>
              </w:rPr>
              <w:t>Catálogo de ramas de la odontología y relación N:M que define las especialidades de cada doctor.</w:t>
            </w:r>
          </w:p>
        </w:tc>
      </w:tr>
      <w:tr>
        <w:tc>
          <w:tcPr>
            <w:tcW w:type="dxa" w:w="3120"/>
            <w:tcMar>
              <w:top w:w="60" w:type="dxa"/>
              <w:bottom w:w="60" w:type="dxa"/>
              <w:left w:w="100" w:type="dxa"/>
              <w:right w:w="100" w:type="dxa"/>
            </w:tcMar>
          </w:tcPr>
          <w:p>
            <w:pPr>
              <w:ind w:firstLine="0"/>
              <w:jc w:val="left"/>
            </w:pPr>
            <w:r>
              <w:rPr>
                <w:rFonts w:ascii="Times New Roman" w:hAnsi="Times New Roman"/>
                <w:color w:val="000000"/>
                <w:sz w:val="21"/>
              </w:rPr>
              <w:t>Appointment</w:t>
            </w:r>
          </w:p>
        </w:tc>
        <w:tc>
          <w:tcPr>
            <w:tcW w:type="dxa" w:w="3120"/>
            <w:tcMar>
              <w:top w:w="60" w:type="dxa"/>
              <w:bottom w:w="60" w:type="dxa"/>
              <w:left w:w="100" w:type="dxa"/>
              <w:right w:w="100" w:type="dxa"/>
            </w:tcMar>
          </w:tcPr>
          <w:p>
            <w:pPr>
              <w:ind w:firstLine="0"/>
              <w:jc w:val="left"/>
            </w:pPr>
            <w:r>
              <w:rPr>
                <w:rFonts w:ascii="Times New Roman" w:hAnsi="Times New Roman"/>
                <w:color w:val="000000"/>
                <w:sz w:val="21"/>
              </w:rPr>
              <w:t>AppointmentId, Date, Time, Reason, PatientId, DoctorId, Status</w:t>
            </w:r>
          </w:p>
        </w:tc>
        <w:tc>
          <w:tcPr>
            <w:tcW w:type="dxa" w:w="3120"/>
            <w:tcMar>
              <w:top w:w="60" w:type="dxa"/>
              <w:bottom w:w="60" w:type="dxa"/>
              <w:left w:w="100" w:type="dxa"/>
              <w:right w:w="100" w:type="dxa"/>
            </w:tcMar>
          </w:tcPr>
          <w:p>
            <w:pPr>
              <w:ind w:firstLine="0"/>
              <w:jc w:val="left"/>
            </w:pPr>
            <w:r>
              <w:rPr>
                <w:rFonts w:ascii="Times New Roman" w:hAnsi="Times New Roman"/>
                <w:color w:val="000000"/>
                <w:sz w:val="21"/>
              </w:rPr>
              <w:t>Registra las citas agendadas, vinculando al paciente con el odontólogo, horario y estado.</w:t>
            </w:r>
          </w:p>
        </w:tc>
      </w:tr>
      <w:tr>
        <w:tc>
          <w:tcPr>
            <w:tcW w:type="dxa" w:w="3120"/>
            <w:tcMar>
              <w:top w:w="60" w:type="dxa"/>
              <w:bottom w:w="60" w:type="dxa"/>
              <w:left w:w="100" w:type="dxa"/>
              <w:right w:w="100" w:type="dxa"/>
            </w:tcMar>
          </w:tcPr>
          <w:p>
            <w:pPr>
              <w:ind w:firstLine="0"/>
              <w:jc w:val="left"/>
            </w:pPr>
            <w:r>
              <w:rPr>
                <w:rFonts w:ascii="Times New Roman" w:hAnsi="Times New Roman"/>
                <w:color w:val="000000"/>
                <w:sz w:val="21"/>
              </w:rPr>
              <w:t>Service</w:t>
            </w:r>
          </w:p>
        </w:tc>
        <w:tc>
          <w:tcPr>
            <w:tcW w:type="dxa" w:w="3120"/>
            <w:tcMar>
              <w:top w:w="60" w:type="dxa"/>
              <w:bottom w:w="60" w:type="dxa"/>
              <w:left w:w="100" w:type="dxa"/>
              <w:right w:w="100" w:type="dxa"/>
            </w:tcMar>
          </w:tcPr>
          <w:p>
            <w:pPr>
              <w:ind w:firstLine="0"/>
              <w:jc w:val="left"/>
            </w:pPr>
            <w:r>
              <w:rPr>
                <w:rFonts w:ascii="Times New Roman" w:hAnsi="Times New Roman"/>
                <w:color w:val="000000"/>
                <w:sz w:val="21"/>
              </w:rPr>
              <w:t>ServiceId, ServiceName, Cost, IsActive</w:t>
            </w:r>
          </w:p>
        </w:tc>
        <w:tc>
          <w:tcPr>
            <w:tcW w:type="dxa" w:w="3120"/>
            <w:tcMar>
              <w:top w:w="60" w:type="dxa"/>
              <w:bottom w:w="60" w:type="dxa"/>
              <w:left w:w="100" w:type="dxa"/>
              <w:right w:w="100" w:type="dxa"/>
            </w:tcMar>
          </w:tcPr>
          <w:p>
            <w:pPr>
              <w:ind w:firstLine="0"/>
              <w:jc w:val="left"/>
            </w:pPr>
            <w:r>
              <w:rPr>
                <w:rFonts w:ascii="Times New Roman" w:hAnsi="Times New Roman"/>
                <w:color w:val="000000"/>
                <w:sz w:val="21"/>
              </w:rPr>
              <w:t>Catálogo de tratamientos dentales disponibles (limpiezas, extracciones, cirugías) con costo base.</w:t>
            </w:r>
          </w:p>
        </w:tc>
      </w:tr>
      <w:tr>
        <w:tc>
          <w:tcPr>
            <w:tcW w:type="dxa" w:w="3120"/>
            <w:tcMar>
              <w:top w:w="60" w:type="dxa"/>
              <w:bottom w:w="60" w:type="dxa"/>
              <w:left w:w="100" w:type="dxa"/>
              <w:right w:w="100" w:type="dxa"/>
            </w:tcMar>
          </w:tcPr>
          <w:p>
            <w:pPr>
              <w:ind w:firstLine="0"/>
              <w:jc w:val="left"/>
            </w:pPr>
            <w:r>
              <w:rPr>
                <w:rFonts w:ascii="Times New Roman" w:hAnsi="Times New Roman"/>
                <w:color w:val="000000"/>
                <w:sz w:val="21"/>
              </w:rPr>
              <w:t>Sale / SaleDetail</w:t>
            </w:r>
          </w:p>
        </w:tc>
        <w:tc>
          <w:tcPr>
            <w:tcW w:type="dxa" w:w="3120"/>
            <w:tcMar>
              <w:top w:w="60" w:type="dxa"/>
              <w:bottom w:w="60" w:type="dxa"/>
              <w:left w:w="100" w:type="dxa"/>
              <w:right w:w="100" w:type="dxa"/>
            </w:tcMar>
          </w:tcPr>
          <w:p>
            <w:pPr>
              <w:ind w:firstLine="0"/>
              <w:jc w:val="left"/>
            </w:pPr>
            <w:r>
              <w:rPr>
                <w:rFonts w:ascii="Times New Roman" w:hAnsi="Times New Roman"/>
                <w:color w:val="000000"/>
                <w:sz w:val="21"/>
              </w:rPr>
              <w:t>SaleId, AppointmentId, SaleDate, ServiceId, Quantity</w:t>
            </w:r>
          </w:p>
        </w:tc>
        <w:tc>
          <w:tcPr>
            <w:tcW w:type="dxa" w:w="3120"/>
            <w:tcMar>
              <w:top w:w="60" w:type="dxa"/>
              <w:bottom w:w="60" w:type="dxa"/>
              <w:left w:w="100" w:type="dxa"/>
              <w:right w:w="100" w:type="dxa"/>
            </w:tcMar>
          </w:tcPr>
          <w:p>
            <w:pPr>
              <w:ind w:firstLine="0"/>
              <w:jc w:val="left"/>
            </w:pPr>
            <w:r>
              <w:rPr>
                <w:rFonts w:ascii="Times New Roman" w:hAnsi="Times New Roman"/>
                <w:color w:val="000000"/>
                <w:sz w:val="21"/>
              </w:rPr>
              <w:t>Registra la transacción comercial derivada de la cita médica y las cantidades cobradas por servicio.</w:t>
            </w:r>
          </w:p>
        </w:tc>
      </w:tr>
    </w:tbl>
    <w:p>
      <w:pPr>
        <w:spacing w:before="80" w:after="200"/>
        <w:ind w:firstLine="0"/>
        <w:jc w:val="both"/>
      </w:pPr>
      <w:r>
        <w:rPr>
          <w:rFonts w:ascii="Times New Roman" w:hAnsi="Times New Roman"/>
          <w:i/>
          <w:color w:val="000000"/>
          <w:sz w:val="20"/>
        </w:rPr>
        <w:t xml:space="preserve">Nota. </w:t>
      </w:r>
      <w:r>
        <w:rPr>
          <w:rFonts w:ascii="Times New Roman" w:hAnsi="Times New Roman"/>
          <w:color w:val="000000"/>
          <w:sz w:val="20"/>
        </w:rPr>
        <w:t>Datos estructurados con base en la inspección física del esquema relacional de Dental_Prueba en Microsoft SQL Server.</w:t>
      </w:r>
    </w:p>
    <w:p>
      <w:pPr>
        <w:spacing w:before="200" w:after="80"/>
        <w:ind w:firstLine="0"/>
        <w:jc w:val="left"/>
      </w:pPr>
      <w:r>
        <w:rPr>
          <w:rFonts w:ascii="Times New Roman" w:hAnsi="Times New Roman"/>
          <w:b/>
          <w:color w:val="000000"/>
          <w:sz w:val="24"/>
        </w:rPr>
        <w:t>Limitaciones del Sistema OLTP para el Análisis de Datos</w:t>
      </w:r>
    </w:p>
    <w:p>
      <w:pPr>
        <w:spacing w:line="360" w:lineRule="auto" w:after="0" w:before="0"/>
        <w:ind w:firstLine="720"/>
        <w:jc w:val="both"/>
      </w:pPr>
      <w:r>
        <w:rPr>
          <w:rFonts w:ascii="Times New Roman" w:hAnsi="Times New Roman"/>
          <w:color w:val="000000"/>
          <w:sz w:val="24"/>
        </w:rPr>
        <w:t>A pesar de su eficacia en el ámbito transaccional cotidiano, Dental_Prueba presenta limitaciones estructurales críticas para la formulación de consultas analíticas e informes estratégicos de gestión (Silberschatz et al., 2020). Estas limitaciones se resumen en cuatro factores esenciales:</w:t>
      </w:r>
    </w:p>
    <w:p>
      <w:pPr>
        <w:spacing w:line="360" w:lineRule="auto" w:after="0" w:before="0"/>
        <w:ind w:firstLine="720"/>
        <w:jc w:val="both"/>
      </w:pPr>
      <w:r>
        <w:rPr>
          <w:rFonts w:ascii="Times New Roman" w:hAnsi="Times New Roman"/>
          <w:color w:val="000000"/>
          <w:sz w:val="24"/>
        </w:rPr>
        <w:t>1. Sobrecarga por normalización rigurosa: La Tercera Forma Normal dispersa la información en múltiples tablas vinculadas por claves foráneas. Para conocer el ingreso económico producido por una especialidad odontológica en un mes particular, el optimizador de SQL debe ejecutar uniones (JOINs) entre al menos seis tablas consecutivas (Specialty, DoctorSpecialty, Doctor, Appointment, Sale y SaleDetail), lo que produce planes de ejecución costosos y latencias elevadas.</w:t>
      </w:r>
    </w:p>
    <w:p>
      <w:pPr>
        <w:spacing w:line="360" w:lineRule="auto" w:after="0" w:before="0"/>
        <w:ind w:firstLine="720"/>
        <w:jc w:val="both"/>
      </w:pPr>
      <w:r>
        <w:rPr>
          <w:rFonts w:ascii="Times New Roman" w:hAnsi="Times New Roman"/>
          <w:color w:val="000000"/>
          <w:sz w:val="24"/>
        </w:rPr>
        <w:t>2. Concurrencia y bloqueos de recursos (locks): La ejecución de consultas de agregación masiva sobre tablas activas en horario clínico adquiere bloqueos compartidos que compiten directamente con las transacciones de inserción y actualización en recepción. Esto genera riesgo de bloqueos mutuos (deadlocks) e interrupciones en la atención al cliente.</w:t>
      </w:r>
    </w:p>
    <w:p>
      <w:pPr>
        <w:spacing w:line="360" w:lineRule="auto" w:after="0" w:before="0"/>
        <w:ind w:firstLine="720"/>
        <w:jc w:val="both"/>
      </w:pPr>
      <w:r>
        <w:rPr>
          <w:rFonts w:ascii="Times New Roman" w:hAnsi="Times New Roman"/>
          <w:color w:val="000000"/>
          <w:sz w:val="24"/>
        </w:rPr>
        <w:t>3. Volatilidad y pérdida de trazabilidad histórica: En el diseño OLTP, cuando un odontólogo actualiza su número de teléfono o la clínica modifica el costo base de un servicio en la tabla Service, el dato previo es reemplazado. En consecuencia, el sistema no conserva la fotografía histórica de cuánto costaba un procedimiento en la fecha exacta en que fue facturado.</w:t>
      </w:r>
    </w:p>
    <w:p>
      <w:pPr>
        <w:spacing w:line="360" w:lineRule="auto" w:after="0" w:before="0"/>
        <w:ind w:firstLine="720"/>
        <w:jc w:val="both"/>
      </w:pPr>
      <w:r>
        <w:rPr>
          <w:rFonts w:ascii="Times New Roman" w:hAnsi="Times New Roman"/>
          <w:color w:val="000000"/>
          <w:sz w:val="24"/>
        </w:rPr>
        <w:t>4. Carencia de jerarquía temporal integrada: El modelo transaccional almacena únicamente valores discretos de fecha y hora (date, time). No dispone de atributos calendarizados para agrupar ventas por trimestres, bimestres o comparar el rendimiento de días laborales frente a fines de semana.</w:t>
      </w:r>
    </w:p>
    <w:p>
      <w:r>
        <w:br w:type="page"/>
      </w:r>
    </w:p>
    <w:p>
      <w:pPr>
        <w:spacing w:before="240" w:after="120"/>
        <w:ind w:firstLine="0"/>
        <w:jc w:val="center"/>
      </w:pPr>
      <w:r>
        <w:rPr>
          <w:rFonts w:ascii="Times New Roman" w:hAnsi="Times New Roman"/>
          <w:b/>
          <w:color w:val="000000"/>
          <w:sz w:val="24"/>
        </w:rPr>
        <w:t>Definición del Data Warehouse (DentalDW) y Puntos de Esfuerzo</w:t>
      </w:r>
    </w:p>
    <w:p>
      <w:pPr>
        <w:spacing w:before="200" w:after="80"/>
        <w:ind w:firstLine="0"/>
        <w:jc w:val="left"/>
      </w:pPr>
      <w:r>
        <w:rPr>
          <w:rFonts w:ascii="Times New Roman" w:hAnsi="Times New Roman"/>
          <w:b/>
          <w:color w:val="000000"/>
          <w:sz w:val="24"/>
        </w:rPr>
        <w:t>Propósito y Rol de DentalDW</w:t>
      </w:r>
    </w:p>
    <w:p>
      <w:pPr>
        <w:spacing w:line="360" w:lineRule="auto" w:after="0" w:before="0"/>
        <w:ind w:firstLine="720"/>
        <w:jc w:val="both"/>
      </w:pPr>
      <w:r>
        <w:rPr>
          <w:rFonts w:ascii="Times New Roman" w:hAnsi="Times New Roman"/>
          <w:color w:val="000000"/>
          <w:sz w:val="24"/>
        </w:rPr>
        <w:t>DentalDW es el repositorio analítico centralizado y desnormalizado diseñado para sustentar la toma de decisiones directivas en la clínica Dental House. De acuerdo con la metodología dimensional establecida por Kimball y Ross (2013), un Data Warehouse debe estructurarse en torno a procesos de negocio específicos, integrando datos con consistencia técnica, manteniéndolos de forma no volátil y preservando su variabilidad a lo largo del tiempo. DentalDW extrae los datos de Dental_Prueba y los transforma en estructuras optimizadas para lectura analítica y agregaciones agregadas.</w:t>
      </w:r>
    </w:p>
    <w:p>
      <w:pPr>
        <w:spacing w:before="200" w:after="80"/>
        <w:ind w:firstLine="0"/>
        <w:jc w:val="left"/>
      </w:pPr>
      <w:r>
        <w:rPr>
          <w:rFonts w:ascii="Times New Roman" w:hAnsi="Times New Roman"/>
          <w:b/>
          <w:color w:val="000000"/>
          <w:sz w:val="24"/>
        </w:rPr>
        <w:t>Proceso de Negocio y Nivel de Granularidad</w:t>
      </w:r>
    </w:p>
    <w:p>
      <w:pPr>
        <w:spacing w:line="360" w:lineRule="auto" w:after="0" w:before="0"/>
        <w:ind w:firstLine="720"/>
        <w:jc w:val="both"/>
      </w:pPr>
      <w:r>
        <w:rPr>
          <w:rFonts w:ascii="Times New Roman" w:hAnsi="Times New Roman"/>
          <w:color w:val="000000"/>
          <w:sz w:val="24"/>
        </w:rPr>
        <w:t>El proceso de negocio seleccionado para el Data Warehouse es la Facturación y Prestación de Servicios Odontológicos. En la metodología de Kimball y Ross (2013), la granularidad representa el nivel atómico de detalle registrado en la tabla de hechos. Para DentalDW, la granularidad de DW_Fact_Sale se define de forma atómica como: cada procedimiento odontológico específico facturado en una venta originada por una cita médica realizada a un paciente por un doctor en una fecha calendarizada.</w:t>
      </w:r>
    </w:p>
    <w:p>
      <w:pPr>
        <w:spacing w:before="200" w:after="80"/>
        <w:ind w:firstLine="0"/>
        <w:jc w:val="left"/>
      </w:pPr>
      <w:r>
        <w:rPr>
          <w:rFonts w:ascii="Times New Roman" w:hAnsi="Times New Roman"/>
          <w:b/>
          <w:color w:val="000000"/>
          <w:sz w:val="24"/>
        </w:rPr>
        <w:t>Puntos de Esfuerzo [Medir] (Hechos y Métricas Numéricas)</w:t>
      </w:r>
    </w:p>
    <w:p>
      <w:pPr>
        <w:spacing w:line="360" w:lineRule="auto" w:after="0" w:before="0"/>
        <w:ind w:firstLine="720"/>
        <w:jc w:val="both"/>
      </w:pPr>
      <w:r>
        <w:rPr>
          <w:rFonts w:ascii="Times New Roman" w:hAnsi="Times New Roman"/>
          <w:color w:val="000000"/>
          <w:sz w:val="24"/>
        </w:rPr>
        <w:t>Los Puntos de Esfuerzo corresponden a los hechos o métricas numéricas almacenadas dentro de la tabla de hechos. Constituyen las variables cuantitativas sobre las que se efectúan cálculos analíticos (sumas, promedios, ratios) para medir el rendimiento operativo y financiero de la clínica. En la tabla central DW_Fact_Sale se definieron tres puntos de esfuerzo fundamentales (ver Tabla 2).</w:t>
      </w:r>
    </w:p>
    <w:p>
      <w:pPr>
        <w:spacing w:before="200" w:after="40"/>
        <w:ind w:firstLine="0"/>
      </w:pPr>
      <w:r>
        <w:rPr>
          <w:rFonts w:ascii="Times New Roman" w:hAnsi="Times New Roman"/>
          <w:b/>
          <w:color w:val="000000"/>
          <w:sz w:val="24"/>
        </w:rPr>
        <w:t>Tabla 2</w:t>
      </w:r>
    </w:p>
    <w:p>
      <w:pPr>
        <w:spacing w:before="0" w:after="80"/>
        <w:ind w:firstLine="0"/>
      </w:pPr>
      <w:r>
        <w:rPr>
          <w:rFonts w:ascii="Times New Roman" w:hAnsi="Times New Roman"/>
          <w:i/>
          <w:color w:val="000000"/>
          <w:sz w:val="24"/>
        </w:rPr>
        <w:t>Definición de los Puntos de Esfuerzo Cuantitativos en la Tabla DW_Fact_Sale</w:t>
      </w:r>
    </w:p>
    <w:tbl>
      <w:tblPr>
        <w:tblW w:type="auto" w:w="0"/>
        <w:jc w:val="center"/>
        <w:tblLook w:firstColumn="1" w:firstRow="1" w:lastColumn="0" w:lastRow="0" w:noHBand="0" w:noVBand="1" w:val="04A0"/>
        <w:tblBorders>
          <w:top w:val="single" w:sz="8" w:space="0" w:color="000000"/>
          <w:bottom w:val="single" w:sz="8" w:space="0" w:color="000000"/>
          <w:left w:val="none"/>
          <w:right w:val="none"/>
          <w:insideV w:val="none"/>
          <w:insideH w:val="none"/>
        </w:tblBorders>
      </w:tblPr>
      <w:tblGrid>
        <w:gridCol w:w="2340"/>
        <w:gridCol w:w="2340"/>
        <w:gridCol w:w="2340"/>
        <w:gridCol w:w="2340"/>
      </w:tblGrid>
      <w:tr>
        <w:tc>
          <w:tcPr>
            <w:tcW w:type="dxa" w:w="2340"/>
            <w:tcBorders>
              <w:bottom w:val="single" w:sz="8" w:space="0" w:color="000000"/>
              <w:top w:val="none"/>
              <w:left w:val="none"/>
              <w:right w:val="none"/>
            </w:tcBorders>
            <w:tcMar>
              <w:top w:w="80" w:type="dxa"/>
              <w:bottom w:w="80" w:type="dxa"/>
              <w:left w:w="100" w:type="dxa"/>
              <w:right w:w="100" w:type="dxa"/>
            </w:tcMar>
          </w:tcPr>
          <w:p>
            <w:pPr>
              <w:ind w:firstLine="0"/>
              <w:jc w:val="left"/>
            </w:pPr>
            <w:r>
              <w:rPr>
                <w:rFonts w:ascii="Times New Roman" w:hAnsi="Times New Roman"/>
                <w:b/>
                <w:color w:val="000000"/>
                <w:sz w:val="22"/>
              </w:rPr>
              <w:t>Punto de Esfuerzo [Medir]</w:t>
            </w:r>
          </w:p>
        </w:tc>
        <w:tc>
          <w:tcPr>
            <w:tcW w:type="dxa" w:w="2340"/>
            <w:tcBorders>
              <w:bottom w:val="single" w:sz="8" w:space="0" w:color="000000"/>
              <w:top w:val="none"/>
              <w:left w:val="none"/>
              <w:right w:val="none"/>
            </w:tcBorders>
            <w:tcMar>
              <w:top w:w="80" w:type="dxa"/>
              <w:bottom w:w="80" w:type="dxa"/>
              <w:left w:w="100" w:type="dxa"/>
              <w:right w:w="100" w:type="dxa"/>
            </w:tcMar>
          </w:tcPr>
          <w:p>
            <w:pPr>
              <w:ind w:firstLine="0"/>
              <w:jc w:val="left"/>
            </w:pPr>
            <w:r>
              <w:rPr>
                <w:rFonts w:ascii="Times New Roman" w:hAnsi="Times New Roman"/>
                <w:b/>
                <w:color w:val="000000"/>
                <w:sz w:val="22"/>
              </w:rPr>
              <w:t>Atributo en DW_Fact_Sale</w:t>
            </w:r>
          </w:p>
        </w:tc>
        <w:tc>
          <w:tcPr>
            <w:tcW w:type="dxa" w:w="2340"/>
            <w:tcBorders>
              <w:bottom w:val="single" w:sz="8" w:space="0" w:color="000000"/>
              <w:top w:val="none"/>
              <w:left w:val="none"/>
              <w:right w:val="none"/>
            </w:tcBorders>
            <w:tcMar>
              <w:top w:w="80" w:type="dxa"/>
              <w:bottom w:w="80" w:type="dxa"/>
              <w:left w:w="100" w:type="dxa"/>
              <w:right w:w="100" w:type="dxa"/>
            </w:tcMar>
          </w:tcPr>
          <w:p>
            <w:pPr>
              <w:ind w:firstLine="0"/>
              <w:jc w:val="left"/>
            </w:pPr>
            <w:r>
              <w:rPr>
                <w:rFonts w:ascii="Times New Roman" w:hAnsi="Times New Roman"/>
                <w:b/>
                <w:color w:val="000000"/>
                <w:sz w:val="22"/>
              </w:rPr>
              <w:t>Tipo de Hecho</w:t>
            </w:r>
          </w:p>
        </w:tc>
        <w:tc>
          <w:tcPr>
            <w:tcW w:type="dxa" w:w="2340"/>
            <w:tcBorders>
              <w:bottom w:val="single" w:sz="8" w:space="0" w:color="000000"/>
              <w:top w:val="none"/>
              <w:left w:val="none"/>
              <w:right w:val="none"/>
            </w:tcBorders>
            <w:tcMar>
              <w:top w:w="80" w:type="dxa"/>
              <w:bottom w:w="80" w:type="dxa"/>
              <w:left w:w="100" w:type="dxa"/>
              <w:right w:w="100" w:type="dxa"/>
            </w:tcMar>
          </w:tcPr>
          <w:p>
            <w:pPr>
              <w:ind w:firstLine="0"/>
              <w:jc w:val="left"/>
            </w:pPr>
            <w:r>
              <w:rPr>
                <w:rFonts w:ascii="Times New Roman" w:hAnsi="Times New Roman"/>
                <w:b/>
                <w:color w:val="000000"/>
                <w:sz w:val="22"/>
              </w:rPr>
              <w:t>Interpretación y Propósito de Medición</w:t>
            </w:r>
          </w:p>
        </w:tc>
      </w:tr>
      <w:tr>
        <w:tc>
          <w:tcPr>
            <w:tcW w:type="dxa" w:w="2340"/>
            <w:tcMar>
              <w:top w:w="60" w:type="dxa"/>
              <w:bottom w:w="60" w:type="dxa"/>
              <w:left w:w="100" w:type="dxa"/>
              <w:right w:w="100" w:type="dxa"/>
            </w:tcMar>
          </w:tcPr>
          <w:p>
            <w:pPr>
              <w:ind w:firstLine="0"/>
              <w:jc w:val="left"/>
            </w:pPr>
            <w:r>
              <w:rPr>
                <w:rFonts w:ascii="Times New Roman" w:hAnsi="Times New Roman"/>
                <w:color w:val="000000"/>
                <w:sz w:val="21"/>
              </w:rPr>
              <w:t>Monto Total Facturado</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TotalAmount (decimal)</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Aditiva (Totalmente sumable)</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Ingreso económico bruto total generado por el tratamiento (Cantidad * Precio Unitario). Permite consolidaciones directas por período, doctor o especialidad.</w:t>
            </w:r>
          </w:p>
        </w:tc>
      </w:tr>
      <w:tr>
        <w:tc>
          <w:tcPr>
            <w:tcW w:type="dxa" w:w="2340"/>
            <w:tcMar>
              <w:top w:w="60" w:type="dxa"/>
              <w:bottom w:w="60" w:type="dxa"/>
              <w:left w:w="100" w:type="dxa"/>
              <w:right w:w="100" w:type="dxa"/>
            </w:tcMar>
          </w:tcPr>
          <w:p>
            <w:pPr>
              <w:ind w:firstLine="0"/>
              <w:jc w:val="left"/>
            </w:pPr>
            <w:r>
              <w:rPr>
                <w:rFonts w:ascii="Times New Roman" w:hAnsi="Times New Roman"/>
                <w:color w:val="000000"/>
                <w:sz w:val="21"/>
              </w:rPr>
              <w:t>Cantidad de Procedimientos</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Quantity (int)</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Aditiva (Totalmente sumable)</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Número de veces que se realizó el tratamiento en la cita (ej. 2 resinas, 1 profilaxis). Refleja el esfuerzo clínico y la carga física de atención médica.</w:t>
            </w:r>
          </w:p>
        </w:tc>
      </w:tr>
      <w:tr>
        <w:tc>
          <w:tcPr>
            <w:tcW w:type="dxa" w:w="2340"/>
            <w:tcMar>
              <w:top w:w="60" w:type="dxa"/>
              <w:bottom w:w="60" w:type="dxa"/>
              <w:left w:w="100" w:type="dxa"/>
              <w:right w:w="100" w:type="dxa"/>
            </w:tcMar>
          </w:tcPr>
          <w:p>
            <w:pPr>
              <w:ind w:firstLine="0"/>
              <w:jc w:val="left"/>
            </w:pPr>
            <w:r>
              <w:rPr>
                <w:rFonts w:ascii="Times New Roman" w:hAnsi="Times New Roman"/>
                <w:color w:val="000000"/>
                <w:sz w:val="21"/>
              </w:rPr>
              <w:t>Precio Unitario Facturado</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UnitPrice (decimal)</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Semi-aditiva (No sumable directamente)</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Tarifa unitaria aplicada en el instante exacto de la venta. Permite evaluar tarifas medias y auditar variaciones o descuentos respecto al costo base.</w:t>
            </w:r>
          </w:p>
        </w:tc>
      </w:tr>
    </w:tbl>
    <w:p>
      <w:pPr>
        <w:spacing w:before="80" w:after="200"/>
        <w:ind w:firstLine="0"/>
        <w:jc w:val="both"/>
      </w:pPr>
      <w:r>
        <w:rPr>
          <w:rFonts w:ascii="Times New Roman" w:hAnsi="Times New Roman"/>
          <w:i/>
          <w:color w:val="000000"/>
          <w:sz w:val="20"/>
        </w:rPr>
        <w:t xml:space="preserve">Nota. </w:t>
      </w:r>
      <w:r>
        <w:rPr>
          <w:rFonts w:ascii="Times New Roman" w:hAnsi="Times New Roman"/>
          <w:color w:val="000000"/>
          <w:sz w:val="20"/>
        </w:rPr>
        <w:t>Métricas numéricas de DW_Fact_Sale calculadas durante el proceso de extracción y carga desde Dental_Prueba.</w:t>
      </w:r>
    </w:p>
    <w:p>
      <w:pPr>
        <w:spacing w:before="200" w:after="80"/>
        <w:ind w:firstLine="0"/>
        <w:jc w:val="left"/>
      </w:pPr>
      <w:r>
        <w:rPr>
          <w:rFonts w:ascii="Times New Roman" w:hAnsi="Times New Roman"/>
          <w:b/>
          <w:color w:val="000000"/>
          <w:sz w:val="24"/>
        </w:rPr>
        <w:t>Indicadores y Preguntas de Negocio que Permite Responder</w:t>
      </w:r>
    </w:p>
    <w:p>
      <w:pPr>
        <w:spacing w:line="360" w:lineRule="auto" w:after="0" w:before="0"/>
        <w:ind w:firstLine="720"/>
        <w:jc w:val="both"/>
      </w:pPr>
      <w:r>
        <w:rPr>
          <w:rFonts w:ascii="Times New Roman" w:hAnsi="Times New Roman"/>
          <w:color w:val="000000"/>
          <w:sz w:val="24"/>
        </w:rPr>
        <w:t>La interacción entre los tres puntos de esfuerzo cuantitativos y las dimensiones de DentalDW faculta a la gerencia de Dental House para responder con precisión a las siguientes interrogantes estratégicas:</w:t>
        <w:br/>
        <w:t>• ¿Cuáles tratamientos dentales aportan la mayor proporción de los ingresos acumulados mensuales y trimestrales?</w:t>
        <w:br/>
        <w:t>• ¿Qué profesionales médicos registran mayor productividad clínica (volumen de procedimientos) y cuáles generan mayor recaudación financiera?</w:t>
        <w:br/>
        <w:t>• ¿Cuál es la demanda relativa de las especialidades odontológicas disponibles en la clínica?</w:t>
        <w:br/>
        <w:t>• ¿En qué meses del año o días de la semana se concentra la afluencia de pacientes y facturación?</w:t>
        <w:br/>
        <w:t>• ¿Qué impacto cuantitativo tienen las citas de fines de semana frente a las jornadas laborales ordinarias?</w:t>
      </w:r>
    </w:p>
    <w:p>
      <w:r>
        <w:br w:type="page"/>
      </w:r>
    </w:p>
    <w:p>
      <w:pPr>
        <w:spacing w:before="240" w:after="120"/>
        <w:ind w:firstLine="0"/>
        <w:jc w:val="center"/>
      </w:pPr>
      <w:r>
        <w:rPr>
          <w:rFonts w:ascii="Times New Roman" w:hAnsi="Times New Roman"/>
          <w:b/>
          <w:color w:val="000000"/>
          <w:sz w:val="24"/>
        </w:rPr>
        <w:t>Esquema a Trabajar: Esquema Estrella (Star Schema)</w:t>
      </w:r>
    </w:p>
    <w:p>
      <w:pPr>
        <w:spacing w:before="200" w:after="80"/>
        <w:ind w:firstLine="0"/>
        <w:jc w:val="left"/>
      </w:pPr>
      <w:r>
        <w:rPr>
          <w:rFonts w:ascii="Times New Roman" w:hAnsi="Times New Roman"/>
          <w:b/>
          <w:color w:val="000000"/>
          <w:sz w:val="24"/>
        </w:rPr>
        <w:t>Justificación de la Elección del Esquema Estrella</w:t>
      </w:r>
    </w:p>
    <w:p>
      <w:pPr>
        <w:spacing w:line="360" w:lineRule="auto" w:after="0" w:before="0"/>
        <w:ind w:firstLine="720"/>
        <w:jc w:val="both"/>
      </w:pPr>
      <w:r>
        <w:rPr>
          <w:rFonts w:ascii="Times New Roman" w:hAnsi="Times New Roman"/>
          <w:color w:val="000000"/>
          <w:sz w:val="24"/>
        </w:rPr>
        <w:t>En el diseño de almacenes de datos existen dos esquemas relacionales fundamentales: el Esquema Estrella (Star Schema) y el Esquema Copo de Nieve (Snowflake Schema). Para DentalDW se seleccionó formalmente el Esquema Estrella basándose en las recomendaciones de Kimball y Ross (2013), fundamentado en tres criterios técnicos:</w:t>
      </w:r>
    </w:p>
    <w:p>
      <w:pPr>
        <w:spacing w:line="360" w:lineRule="auto" w:after="0" w:before="0"/>
        <w:ind w:firstLine="720"/>
        <w:jc w:val="both"/>
      </w:pPr>
      <w:r>
        <w:rPr>
          <w:rFonts w:ascii="Times New Roman" w:hAnsi="Times New Roman"/>
          <w:color w:val="000000"/>
          <w:sz w:val="24"/>
        </w:rPr>
        <w:t>1. Desnormalización dimensional y simplicidad: En el esquema estrella, las dimensiones periféricas no se descomponen en subtablas normalizadas. En el caso de DentalDW, los atributos de especialidad médica (SpecialtyId y SpecialtyName) se integraron directamente dentro de la tabla DW_Dim_Doctor, suprimiendo la necesidad de tablas intermedias presentes en el OLTP.</w:t>
      </w:r>
    </w:p>
    <w:p>
      <w:pPr>
        <w:spacing w:line="360" w:lineRule="auto" w:after="0" w:before="0"/>
        <w:ind w:firstLine="720"/>
        <w:jc w:val="both"/>
      </w:pPr>
      <w:r>
        <w:rPr>
          <w:rFonts w:ascii="Times New Roman" w:hAnsi="Times New Roman"/>
          <w:color w:val="000000"/>
          <w:sz w:val="24"/>
        </w:rPr>
        <w:t>2. Consultas directas con un solo nivel de unión: Cualquier consulta analítica vincula la tabla central de hechos DW_Fact_Sale con las dimensiones requeridas mediante una única condición de combinación (JOIN) por clave sustituta, maximizando la velocidad de cálculo.</w:t>
      </w:r>
    </w:p>
    <w:p>
      <w:pPr>
        <w:spacing w:line="360" w:lineRule="auto" w:after="0" w:before="0"/>
        <w:ind w:firstLine="720"/>
        <w:jc w:val="both"/>
      </w:pPr>
      <w:r>
        <w:rPr>
          <w:rFonts w:ascii="Times New Roman" w:hAnsi="Times New Roman"/>
          <w:color w:val="000000"/>
          <w:sz w:val="24"/>
        </w:rPr>
        <w:t>3. Estructura estándar para herramientas analíticas: El esquema estrella ofrece la arquitectura óptima para motores de Inteligencia de Negocios y visualización analítica, simplificando la creación de medidas DAX y filtros multidimensionales.</w:t>
      </w:r>
    </w:p>
    <w:p>
      <w:pPr>
        <w:spacing w:before="200" w:after="80"/>
        <w:ind w:firstLine="0"/>
        <w:jc w:val="left"/>
      </w:pPr>
      <w:r>
        <w:rPr>
          <w:rFonts w:ascii="Times New Roman" w:hAnsi="Times New Roman"/>
          <w:b/>
          <w:color w:val="000000"/>
          <w:sz w:val="24"/>
        </w:rPr>
        <w:t>Estructura de la Tabla de Hechos (DW_Fact_Sale)</w:t>
      </w:r>
    </w:p>
    <w:p>
      <w:pPr>
        <w:spacing w:line="360" w:lineRule="auto" w:after="0" w:before="0"/>
        <w:ind w:firstLine="720"/>
        <w:jc w:val="both"/>
      </w:pPr>
      <w:r>
        <w:rPr>
          <w:rFonts w:ascii="Times New Roman" w:hAnsi="Times New Roman"/>
          <w:color w:val="000000"/>
          <w:sz w:val="24"/>
        </w:rPr>
        <w:t>La tabla central del modelo es DW_Fact_Sale. Su composición integra claves sustitutas artificiales hacia las dimensiones, identificadores transaccionales de origen, las medidas cuantificables del negocio y la marca temporal de auditoría (ver Tabla 3).</w:t>
      </w:r>
    </w:p>
    <w:p>
      <w:pPr>
        <w:spacing w:before="200" w:after="40"/>
        <w:ind w:firstLine="0"/>
      </w:pPr>
      <w:r>
        <w:rPr>
          <w:rFonts w:ascii="Times New Roman" w:hAnsi="Times New Roman"/>
          <w:b/>
          <w:color w:val="000000"/>
          <w:sz w:val="24"/>
        </w:rPr>
        <w:t>Tabla 3</w:t>
      </w:r>
    </w:p>
    <w:p>
      <w:pPr>
        <w:spacing w:before="0" w:after="80"/>
        <w:ind w:firstLine="0"/>
      </w:pPr>
      <w:r>
        <w:rPr>
          <w:rFonts w:ascii="Times New Roman" w:hAnsi="Times New Roman"/>
          <w:i/>
          <w:color w:val="000000"/>
          <w:sz w:val="24"/>
        </w:rPr>
        <w:t>Estructura y Atributos de la Tabla Central de Hechos DW_Fact_Sale</w:t>
      </w:r>
    </w:p>
    <w:tbl>
      <w:tblPr>
        <w:tblW w:type="auto" w:w="0"/>
        <w:jc w:val="center"/>
        <w:tblLook w:firstColumn="1" w:firstRow="1" w:lastColumn="0" w:lastRow="0" w:noHBand="0" w:noVBand="1" w:val="04A0"/>
        <w:tblBorders>
          <w:top w:val="single" w:sz="8" w:space="0" w:color="000000"/>
          <w:bottom w:val="single" w:sz="8" w:space="0" w:color="000000"/>
          <w:left w:val="none"/>
          <w:right w:val="none"/>
          <w:insideV w:val="none"/>
          <w:insideH w:val="none"/>
        </w:tblBorders>
      </w:tblPr>
      <w:tblGrid>
        <w:gridCol w:w="2340"/>
        <w:gridCol w:w="2340"/>
        <w:gridCol w:w="2340"/>
        <w:gridCol w:w="2340"/>
      </w:tblGrid>
      <w:tr>
        <w:tc>
          <w:tcPr>
            <w:tcW w:type="dxa" w:w="2340"/>
            <w:tcBorders>
              <w:bottom w:val="single" w:sz="8" w:space="0" w:color="000000"/>
              <w:top w:val="none"/>
              <w:left w:val="none"/>
              <w:right w:val="none"/>
            </w:tcBorders>
            <w:tcMar>
              <w:top w:w="80" w:type="dxa"/>
              <w:bottom w:w="80" w:type="dxa"/>
              <w:left w:w="100" w:type="dxa"/>
              <w:right w:w="100" w:type="dxa"/>
            </w:tcMar>
          </w:tcPr>
          <w:p>
            <w:pPr>
              <w:ind w:firstLine="0"/>
              <w:jc w:val="left"/>
            </w:pPr>
            <w:r>
              <w:rPr>
                <w:rFonts w:ascii="Times New Roman" w:hAnsi="Times New Roman"/>
                <w:b/>
                <w:color w:val="000000"/>
                <w:sz w:val="22"/>
              </w:rPr>
              <w:t>Atributo</w:t>
            </w:r>
          </w:p>
        </w:tc>
        <w:tc>
          <w:tcPr>
            <w:tcW w:type="dxa" w:w="2340"/>
            <w:tcBorders>
              <w:bottom w:val="single" w:sz="8" w:space="0" w:color="000000"/>
              <w:top w:val="none"/>
              <w:left w:val="none"/>
              <w:right w:val="none"/>
            </w:tcBorders>
            <w:tcMar>
              <w:top w:w="80" w:type="dxa"/>
              <w:bottom w:w="80" w:type="dxa"/>
              <w:left w:w="100" w:type="dxa"/>
              <w:right w:w="100" w:type="dxa"/>
            </w:tcMar>
          </w:tcPr>
          <w:p>
            <w:pPr>
              <w:ind w:firstLine="0"/>
              <w:jc w:val="left"/>
            </w:pPr>
            <w:r>
              <w:rPr>
                <w:rFonts w:ascii="Times New Roman" w:hAnsi="Times New Roman"/>
                <w:b/>
                <w:color w:val="000000"/>
                <w:sz w:val="22"/>
              </w:rPr>
              <w:t>Tipo de Dato</w:t>
            </w:r>
          </w:p>
        </w:tc>
        <w:tc>
          <w:tcPr>
            <w:tcW w:type="dxa" w:w="2340"/>
            <w:tcBorders>
              <w:bottom w:val="single" w:sz="8" w:space="0" w:color="000000"/>
              <w:top w:val="none"/>
              <w:left w:val="none"/>
              <w:right w:val="none"/>
            </w:tcBorders>
            <w:tcMar>
              <w:top w:w="80" w:type="dxa"/>
              <w:bottom w:w="80" w:type="dxa"/>
              <w:left w:w="100" w:type="dxa"/>
              <w:right w:w="100" w:type="dxa"/>
            </w:tcMar>
          </w:tcPr>
          <w:p>
            <w:pPr>
              <w:ind w:firstLine="0"/>
              <w:jc w:val="left"/>
            </w:pPr>
            <w:r>
              <w:rPr>
                <w:rFonts w:ascii="Times New Roman" w:hAnsi="Times New Roman"/>
                <w:b/>
                <w:color w:val="000000"/>
                <w:sz w:val="22"/>
              </w:rPr>
              <w:t>Rol Dimensional</w:t>
            </w:r>
          </w:p>
        </w:tc>
        <w:tc>
          <w:tcPr>
            <w:tcW w:type="dxa" w:w="2340"/>
            <w:tcBorders>
              <w:bottom w:val="single" w:sz="8" w:space="0" w:color="000000"/>
              <w:top w:val="none"/>
              <w:left w:val="none"/>
              <w:right w:val="none"/>
            </w:tcBorders>
            <w:tcMar>
              <w:top w:w="80" w:type="dxa"/>
              <w:bottom w:w="80" w:type="dxa"/>
              <w:left w:w="100" w:type="dxa"/>
              <w:right w:w="100" w:type="dxa"/>
            </w:tcMar>
          </w:tcPr>
          <w:p>
            <w:pPr>
              <w:ind w:firstLine="0"/>
              <w:jc w:val="left"/>
            </w:pPr>
            <w:r>
              <w:rPr>
                <w:rFonts w:ascii="Times New Roman" w:hAnsi="Times New Roman"/>
                <w:b/>
                <w:color w:val="000000"/>
                <w:sz w:val="22"/>
              </w:rPr>
              <w:t>Definición Conceptual</w:t>
            </w:r>
          </w:p>
        </w:tc>
      </w:tr>
      <w:tr>
        <w:tc>
          <w:tcPr>
            <w:tcW w:type="dxa" w:w="2340"/>
            <w:tcMar>
              <w:top w:w="60" w:type="dxa"/>
              <w:bottom w:w="60" w:type="dxa"/>
              <w:left w:w="100" w:type="dxa"/>
              <w:right w:w="100" w:type="dxa"/>
            </w:tcMar>
          </w:tcPr>
          <w:p>
            <w:pPr>
              <w:ind w:firstLine="0"/>
              <w:jc w:val="left"/>
            </w:pPr>
            <w:r>
              <w:rPr>
                <w:rFonts w:ascii="Times New Roman" w:hAnsi="Times New Roman"/>
                <w:color w:val="000000"/>
                <w:sz w:val="21"/>
              </w:rPr>
              <w:t>SaleKey</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int</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Clave Primaria (PK)</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Clave sustituta artificial única de la tabla de hechos.</w:t>
            </w:r>
          </w:p>
        </w:tc>
      </w:tr>
      <w:tr>
        <w:tc>
          <w:tcPr>
            <w:tcW w:type="dxa" w:w="2340"/>
            <w:tcMar>
              <w:top w:w="60" w:type="dxa"/>
              <w:bottom w:w="60" w:type="dxa"/>
              <w:left w:w="100" w:type="dxa"/>
              <w:right w:w="100" w:type="dxa"/>
            </w:tcMar>
          </w:tcPr>
          <w:p>
            <w:pPr>
              <w:ind w:firstLine="0"/>
              <w:jc w:val="left"/>
            </w:pPr>
            <w:r>
              <w:rPr>
                <w:rFonts w:ascii="Times New Roman" w:hAnsi="Times New Roman"/>
                <w:color w:val="000000"/>
                <w:sz w:val="21"/>
              </w:rPr>
              <w:t>SaleId</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int</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Dimensión Degenerada</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Identificador de la venta transaccional en el sistema OLTP.</w:t>
            </w:r>
          </w:p>
        </w:tc>
      </w:tr>
      <w:tr>
        <w:tc>
          <w:tcPr>
            <w:tcW w:type="dxa" w:w="2340"/>
            <w:tcMar>
              <w:top w:w="60" w:type="dxa"/>
              <w:bottom w:w="60" w:type="dxa"/>
              <w:left w:w="100" w:type="dxa"/>
              <w:right w:w="100" w:type="dxa"/>
            </w:tcMar>
          </w:tcPr>
          <w:p>
            <w:pPr>
              <w:ind w:firstLine="0"/>
              <w:jc w:val="left"/>
            </w:pPr>
            <w:r>
              <w:rPr>
                <w:rFonts w:ascii="Times New Roman" w:hAnsi="Times New Roman"/>
                <w:color w:val="000000"/>
                <w:sz w:val="21"/>
              </w:rPr>
              <w:t>FechaKey</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int</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Clave Foránea (FK)</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Vínculo numérico hacia la dimensión temporal DW_Dim_Date (formato AAAAMMDD).</w:t>
            </w:r>
          </w:p>
        </w:tc>
      </w:tr>
      <w:tr>
        <w:tc>
          <w:tcPr>
            <w:tcW w:type="dxa" w:w="2340"/>
            <w:tcMar>
              <w:top w:w="60" w:type="dxa"/>
              <w:bottom w:w="60" w:type="dxa"/>
              <w:left w:w="100" w:type="dxa"/>
              <w:right w:w="100" w:type="dxa"/>
            </w:tcMar>
          </w:tcPr>
          <w:p>
            <w:pPr>
              <w:ind w:firstLine="0"/>
              <w:jc w:val="left"/>
            </w:pPr>
            <w:r>
              <w:rPr>
                <w:rFonts w:ascii="Times New Roman" w:hAnsi="Times New Roman"/>
                <w:color w:val="000000"/>
                <w:sz w:val="21"/>
              </w:rPr>
              <w:t>PatientKey</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int</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Clave Foránea (FK)</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Vínculo hacia la dimensión de pacientes (DW_Dim_Patient).</w:t>
            </w:r>
          </w:p>
        </w:tc>
      </w:tr>
      <w:tr>
        <w:tc>
          <w:tcPr>
            <w:tcW w:type="dxa" w:w="2340"/>
            <w:tcMar>
              <w:top w:w="60" w:type="dxa"/>
              <w:bottom w:w="60" w:type="dxa"/>
              <w:left w:w="100" w:type="dxa"/>
              <w:right w:w="100" w:type="dxa"/>
            </w:tcMar>
          </w:tcPr>
          <w:p>
            <w:pPr>
              <w:ind w:firstLine="0"/>
              <w:jc w:val="left"/>
            </w:pPr>
            <w:r>
              <w:rPr>
                <w:rFonts w:ascii="Times New Roman" w:hAnsi="Times New Roman"/>
                <w:color w:val="000000"/>
                <w:sz w:val="21"/>
              </w:rPr>
              <w:t>DoctorKey</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int</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Clave Foránea (FK)</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Vínculo hacia la dimensión de odontólogos (DW_Dim_Doctor).</w:t>
            </w:r>
          </w:p>
        </w:tc>
      </w:tr>
      <w:tr>
        <w:tc>
          <w:tcPr>
            <w:tcW w:type="dxa" w:w="2340"/>
            <w:tcMar>
              <w:top w:w="60" w:type="dxa"/>
              <w:bottom w:w="60" w:type="dxa"/>
              <w:left w:w="100" w:type="dxa"/>
              <w:right w:w="100" w:type="dxa"/>
            </w:tcMar>
          </w:tcPr>
          <w:p>
            <w:pPr>
              <w:ind w:firstLine="0"/>
              <w:jc w:val="left"/>
            </w:pPr>
            <w:r>
              <w:rPr>
                <w:rFonts w:ascii="Times New Roman" w:hAnsi="Times New Roman"/>
                <w:color w:val="000000"/>
                <w:sz w:val="21"/>
              </w:rPr>
              <w:t>ServiceKey</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int</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Clave Foránea (FK)</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Vínculo hacia la dimensión de servicios (DW_Dim_Service).</w:t>
            </w:r>
          </w:p>
        </w:tc>
      </w:tr>
      <w:tr>
        <w:tc>
          <w:tcPr>
            <w:tcW w:type="dxa" w:w="2340"/>
            <w:tcMar>
              <w:top w:w="60" w:type="dxa"/>
              <w:bottom w:w="60" w:type="dxa"/>
              <w:left w:w="100" w:type="dxa"/>
              <w:right w:w="100" w:type="dxa"/>
            </w:tcMar>
          </w:tcPr>
          <w:p>
            <w:pPr>
              <w:ind w:firstLine="0"/>
              <w:jc w:val="left"/>
            </w:pPr>
            <w:r>
              <w:rPr>
                <w:rFonts w:ascii="Times New Roman" w:hAnsi="Times New Roman"/>
                <w:color w:val="000000"/>
                <w:sz w:val="21"/>
              </w:rPr>
              <w:t>AppointmentKey</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int</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Clave Foránea (FK)</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Vínculo hacia la dimensión de citas médicas (DW_Dim_Appointment).</w:t>
            </w:r>
          </w:p>
        </w:tc>
      </w:tr>
      <w:tr>
        <w:tc>
          <w:tcPr>
            <w:tcW w:type="dxa" w:w="2340"/>
            <w:tcMar>
              <w:top w:w="60" w:type="dxa"/>
              <w:bottom w:w="60" w:type="dxa"/>
              <w:left w:w="100" w:type="dxa"/>
              <w:right w:w="100" w:type="dxa"/>
            </w:tcMar>
          </w:tcPr>
          <w:p>
            <w:pPr>
              <w:ind w:firstLine="0"/>
              <w:jc w:val="left"/>
            </w:pPr>
            <w:r>
              <w:rPr>
                <w:rFonts w:ascii="Times New Roman" w:hAnsi="Times New Roman"/>
                <w:color w:val="000000"/>
                <w:sz w:val="21"/>
              </w:rPr>
              <w:t>AppointmentDetailKey</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int</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Clave Foránea (FK)</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Vínculo al detalle de la cita clínica (DW_Dim_AppointmentDetail).</w:t>
            </w:r>
          </w:p>
        </w:tc>
      </w:tr>
      <w:tr>
        <w:tc>
          <w:tcPr>
            <w:tcW w:type="dxa" w:w="2340"/>
            <w:tcMar>
              <w:top w:w="60" w:type="dxa"/>
              <w:bottom w:w="60" w:type="dxa"/>
              <w:left w:w="100" w:type="dxa"/>
              <w:right w:w="100" w:type="dxa"/>
            </w:tcMar>
          </w:tcPr>
          <w:p>
            <w:pPr>
              <w:ind w:firstLine="0"/>
              <w:jc w:val="left"/>
            </w:pPr>
            <w:r>
              <w:rPr>
                <w:rFonts w:ascii="Times New Roman" w:hAnsi="Times New Roman"/>
                <w:color w:val="000000"/>
                <w:sz w:val="21"/>
              </w:rPr>
              <w:t>Quantity</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int</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Punto de Esfuerzo [Medir]</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Cantidad de tratamientos o procedimientos realizados en la sesión.</w:t>
            </w:r>
          </w:p>
        </w:tc>
      </w:tr>
      <w:tr>
        <w:tc>
          <w:tcPr>
            <w:tcW w:type="dxa" w:w="2340"/>
            <w:tcMar>
              <w:top w:w="60" w:type="dxa"/>
              <w:bottom w:w="60" w:type="dxa"/>
              <w:left w:w="100" w:type="dxa"/>
              <w:right w:w="100" w:type="dxa"/>
            </w:tcMar>
          </w:tcPr>
          <w:p>
            <w:pPr>
              <w:ind w:firstLine="0"/>
              <w:jc w:val="left"/>
            </w:pPr>
            <w:r>
              <w:rPr>
                <w:rFonts w:ascii="Times New Roman" w:hAnsi="Times New Roman"/>
                <w:color w:val="000000"/>
                <w:sz w:val="21"/>
              </w:rPr>
              <w:t>UnitPrice</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decimal</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Punto de Esfuerzo [Medir]</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Tarifa unitaria cobrada al paciente al momento de la venta.</w:t>
            </w:r>
          </w:p>
        </w:tc>
      </w:tr>
      <w:tr>
        <w:tc>
          <w:tcPr>
            <w:tcW w:type="dxa" w:w="2340"/>
            <w:tcMar>
              <w:top w:w="60" w:type="dxa"/>
              <w:bottom w:w="60" w:type="dxa"/>
              <w:left w:w="100" w:type="dxa"/>
              <w:right w:w="100" w:type="dxa"/>
            </w:tcMar>
          </w:tcPr>
          <w:p>
            <w:pPr>
              <w:ind w:firstLine="0"/>
              <w:jc w:val="left"/>
            </w:pPr>
            <w:r>
              <w:rPr>
                <w:rFonts w:ascii="Times New Roman" w:hAnsi="Times New Roman"/>
                <w:color w:val="000000"/>
                <w:sz w:val="21"/>
              </w:rPr>
              <w:t>TotalAmount</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decimal</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Punto de Esfuerzo [Medir]</w:t>
            </w:r>
          </w:p>
        </w:tc>
        <w:tc>
          <w:tcPr>
            <w:tcW w:type="dxa" w:w="2340"/>
            <w:tcMar>
              <w:top w:w="60" w:type="dxa"/>
              <w:bottom w:w="60" w:type="dxa"/>
              <w:left w:w="100" w:type="dxa"/>
              <w:right w:w="100" w:type="dxa"/>
            </w:tcMar>
          </w:tcPr>
          <w:p>
            <w:pPr>
              <w:ind w:firstLine="0"/>
              <w:jc w:val="left"/>
            </w:pPr>
            <w:r>
              <w:rPr>
                <w:rFonts w:ascii="Times New Roman" w:hAnsi="Times New Roman"/>
                <w:color w:val="000000"/>
                <w:sz w:val="21"/>
              </w:rPr>
              <w:t>Importe total facturado resultante (Quantity * UnitPrice).</w:t>
            </w:r>
          </w:p>
        </w:tc>
      </w:tr>
    </w:tbl>
    <w:p>
      <w:pPr>
        <w:spacing w:before="80" w:after="200"/>
        <w:ind w:firstLine="0"/>
        <w:jc w:val="both"/>
      </w:pPr>
      <w:r>
        <w:rPr>
          <w:rFonts w:ascii="Times New Roman" w:hAnsi="Times New Roman"/>
          <w:i/>
          <w:color w:val="000000"/>
          <w:sz w:val="20"/>
        </w:rPr>
        <w:t xml:space="preserve">Nota. </w:t>
      </w:r>
      <w:r>
        <w:rPr>
          <w:rFonts w:ascii="Times New Roman" w:hAnsi="Times New Roman"/>
          <w:color w:val="000000"/>
          <w:sz w:val="20"/>
        </w:rPr>
        <w:t>Definición física implementada en la base de datos analítica DentalDW en Microsoft SQL Server.</w:t>
      </w:r>
    </w:p>
    <w:p>
      <w:pPr>
        <w:spacing w:before="200" w:after="80"/>
        <w:ind w:firstLine="0"/>
        <w:jc w:val="left"/>
      </w:pPr>
      <w:r>
        <w:rPr>
          <w:rFonts w:ascii="Times New Roman" w:hAnsi="Times New Roman"/>
          <w:b/>
          <w:color w:val="000000"/>
          <w:sz w:val="24"/>
        </w:rPr>
        <w:t>Tablas de Dimensión Periféricas</w:t>
      </w:r>
    </w:p>
    <w:p>
      <w:pPr>
        <w:spacing w:line="360" w:lineRule="auto" w:after="0" w:before="0"/>
        <w:ind w:firstLine="720"/>
        <w:jc w:val="both"/>
      </w:pPr>
      <w:r>
        <w:rPr>
          <w:rFonts w:ascii="Times New Roman" w:hAnsi="Times New Roman"/>
          <w:color w:val="000000"/>
          <w:sz w:val="24"/>
        </w:rPr>
        <w:t>En torno a DW_Fact_Sale se disponen seis tablas de dimensión que proveen el contexto descriptivo del proceso (Kimball &amp; Ross, 2013):</w:t>
        <w:br/>
        <w:t>• DW_Dim_Patient: Contiene las características del paciente (PatientKey, PatientId, FullName, Phone, Address, BirthDate, IsActive).</w:t>
        <w:br/>
        <w:t>• DW_Dim_Doctor: Contiene la información desnormalizada del odontólogo junto a su especialidad (DoctorKey, DoctorId, FullName, SpecialtyId, SpecialtyName, Phone, IsActive).</w:t>
        <w:br/>
        <w:t>• DW_Dim_Service: Catálogo de tratamientos odontológicos (ServiceKey, ServiceId, ServiceName, Cost base, IsActive).</w:t>
        <w:br/>
        <w:t>• DW_Dim_Appointment: Contexto de la cita médica (AppointmentKey, AppointmentId, AppointmentDate, AppointmentTime, Reason, Status).</w:t>
        <w:br/>
        <w:t>• DW_Dim_AppointmentDetail: Detalle de ejecución clínica de la cita (AppointmentDetailKey, AppointmentDetailId, ServiceId, Status, FechaCarga).</w:t>
        <w:br/>
        <w:t>• DW_Dim_Date: Dimensión de calendario conformada de 2,557 días que permite agregaciones jerárquicas por año, mes, bimestre, trimestre, cuatrimestre y la bandera EsFinDeSemana.</w:t>
      </w:r>
    </w:p>
    <w:p>
      <w:r>
        <w:br w:type="page"/>
      </w:r>
    </w:p>
    <w:p>
      <w:pPr>
        <w:spacing w:before="200" w:after="80"/>
        <w:ind w:firstLine="0"/>
        <w:jc w:val="left"/>
      </w:pPr>
      <w:r>
        <w:rPr>
          <w:rFonts w:ascii="Times New Roman" w:hAnsi="Times New Roman"/>
          <w:b/>
          <w:color w:val="000000"/>
          <w:sz w:val="24"/>
        </w:rPr>
        <w:t>Diagrama Formal del Esquema Estrella (DentalDW)</w:t>
      </w:r>
    </w:p>
    <w:p>
      <w:pPr>
        <w:spacing w:line="360" w:lineRule="auto" w:after="0" w:before="0"/>
        <w:ind w:firstLine="720"/>
        <w:jc w:val="both"/>
      </w:pPr>
      <w:r>
        <w:rPr>
          <w:rFonts w:ascii="Times New Roman" w:hAnsi="Times New Roman"/>
          <w:color w:val="000000"/>
          <w:sz w:val="24"/>
        </w:rPr>
        <w:t>La Figura 1 ilustra el diseño dimensional en esquema estrella implementado en DentalDW, reflejando la disposición radial de las seis dimensiones alrededor de la tabla central de hechos DW_Fact_Sale.</w:t>
      </w:r>
    </w:p>
    <w:p>
      <w:pPr>
        <w:spacing w:before="200" w:after="40"/>
        <w:ind w:firstLine="0"/>
      </w:pPr>
      <w:r>
        <w:rPr>
          <w:rFonts w:ascii="Times New Roman" w:hAnsi="Times New Roman"/>
          <w:b/>
          <w:color w:val="000000"/>
          <w:sz w:val="24"/>
        </w:rPr>
        <w:t>Figura 1</w:t>
      </w:r>
    </w:p>
    <w:p>
      <w:pPr>
        <w:spacing w:before="0" w:after="160"/>
        <w:ind w:firstLine="0"/>
      </w:pPr>
      <w:r>
        <w:rPr>
          <w:rFonts w:ascii="Times New Roman" w:hAnsi="Times New Roman"/>
          <w:i/>
          <w:color w:val="000000"/>
          <w:sz w:val="24"/>
        </w:rPr>
        <w:t>Modelo Dimensional en Esquema Estrella para DentalDW</w:t>
      </w:r>
    </w:p>
    <w:p>
      <w:pPr>
        <w:spacing w:before="80" w:after="80"/>
        <w:ind w:firstLine="0"/>
        <w:jc w:val="center"/>
      </w:pPr>
      <w:r>
        <w:drawing>
          <wp:inline xmlns:a="http://schemas.openxmlformats.org/drawingml/2006/main" xmlns:pic="http://schemas.openxmlformats.org/drawingml/2006/picture">
            <wp:extent cx="5669280" cy="3850282"/>
            <wp:docPr id="2" name="Picture 2"/>
            <wp:cNvGraphicFramePr>
              <a:graphicFrameLocks noChangeAspect="1"/>
            </wp:cNvGraphicFramePr>
            <a:graphic>
              <a:graphicData uri="http://schemas.openxmlformats.org/drawingml/2006/picture">
                <pic:pic>
                  <pic:nvPicPr>
                    <pic:cNvPr id="0" name="esquema_estrella_bw.png"/>
                    <pic:cNvPicPr/>
                  </pic:nvPicPr>
                  <pic:blipFill>
                    <a:blip r:embed="rId11"/>
                    <a:stretch>
                      <a:fillRect/>
                    </a:stretch>
                  </pic:blipFill>
                  <pic:spPr>
                    <a:xfrm>
                      <a:off x="0" y="0"/>
                      <a:ext cx="5669280" cy="3850282"/>
                    </a:xfrm>
                    <a:prstGeom prst="rect"/>
                  </pic:spPr>
                </pic:pic>
              </a:graphicData>
            </a:graphic>
          </wp:inline>
        </w:drawing>
      </w:r>
    </w:p>
    <w:p>
      <w:pPr>
        <w:spacing w:before="80" w:after="240"/>
        <w:ind w:firstLine="0"/>
        <w:jc w:val="both"/>
      </w:pPr>
      <w:r>
        <w:rPr>
          <w:rFonts w:ascii="Times New Roman" w:hAnsi="Times New Roman"/>
          <w:i/>
          <w:color w:val="000000"/>
          <w:sz w:val="20"/>
        </w:rPr>
        <w:t xml:space="preserve">Nota. </w:t>
      </w:r>
      <w:r>
        <w:rPr>
          <w:rFonts w:ascii="Times New Roman" w:hAnsi="Times New Roman"/>
          <w:color w:val="000000"/>
          <w:sz w:val="20"/>
        </w:rPr>
        <w:t>Esquema estrella centrado en la tabla de hechos DW_Fact_Sale con los tres puntos de esfuerzo medibles (Quantity, UnitPrice, TotalAmount) y sus seis dimensiones asociadas con claves sustitutas (Surrogate Keys). Diseñado en Microsoft SQL Server bajo el enfoque dimensional de Kimball.</w:t>
      </w:r>
    </w:p>
    <w:p>
      <w:r>
        <w:br w:type="page"/>
      </w:r>
    </w:p>
    <w:p>
      <w:pPr>
        <w:spacing w:before="240" w:after="120"/>
        <w:ind w:firstLine="0"/>
        <w:jc w:val="center"/>
      </w:pPr>
      <w:r>
        <w:rPr>
          <w:rFonts w:ascii="Times New Roman" w:hAnsi="Times New Roman"/>
          <w:b/>
          <w:color w:val="000000"/>
          <w:sz w:val="24"/>
        </w:rPr>
        <w:t>Referencias</w:t>
      </w:r>
    </w:p>
    <w:p>
      <w:pPr>
        <w:spacing w:line="360" w:lineRule="auto" w:before="0" w:after="120"/>
        <w:ind w:hanging="720" w:left="720"/>
        <w:jc w:val="both"/>
      </w:pPr>
      <w:r>
        <w:rPr>
          <w:rFonts w:ascii="Times New Roman" w:hAnsi="Times New Roman"/>
          <w:color w:val="000000"/>
          <w:sz w:val="24"/>
        </w:rPr>
        <w:t xml:space="preserve">Elmasri, R., &amp; Navathe, S. B. (2016). </w:t>
      </w:r>
      <w:r>
        <w:rPr>
          <w:rFonts w:ascii="Times New Roman" w:hAnsi="Times New Roman"/>
          <w:i/>
          <w:color w:val="000000"/>
          <w:sz w:val="24"/>
        </w:rPr>
        <w:t xml:space="preserve">Fundamentals of database systems </w:t>
      </w:r>
      <w:r>
        <w:rPr>
          <w:rFonts w:ascii="Times New Roman" w:hAnsi="Times New Roman"/>
          <w:color w:val="000000"/>
          <w:sz w:val="24"/>
        </w:rPr>
        <w:t>(7th ed.). Pearson.</w:t>
      </w:r>
    </w:p>
    <w:p>
      <w:pPr>
        <w:spacing w:line="360" w:lineRule="auto" w:before="0" w:after="120"/>
        <w:ind w:hanging="720" w:left="720"/>
        <w:jc w:val="both"/>
      </w:pPr>
      <w:r>
        <w:rPr>
          <w:rFonts w:ascii="Times New Roman" w:hAnsi="Times New Roman"/>
          <w:color w:val="000000"/>
          <w:sz w:val="24"/>
        </w:rPr>
        <w:t xml:space="preserve">Kimball, R., &amp; Ross, M. (2013). </w:t>
      </w:r>
      <w:r>
        <w:rPr>
          <w:rFonts w:ascii="Times New Roman" w:hAnsi="Times New Roman"/>
          <w:i/>
          <w:color w:val="000000"/>
          <w:sz w:val="24"/>
        </w:rPr>
        <w:t xml:space="preserve">The data warehouse toolkit: The definitive guide to dimensional modeling </w:t>
      </w:r>
      <w:r>
        <w:rPr>
          <w:rFonts w:ascii="Times New Roman" w:hAnsi="Times New Roman"/>
          <w:color w:val="000000"/>
          <w:sz w:val="24"/>
        </w:rPr>
        <w:t>(3rd ed.). John Wiley &amp; Sons.</w:t>
      </w:r>
    </w:p>
    <w:p>
      <w:pPr>
        <w:spacing w:line="360" w:lineRule="auto" w:before="0" w:after="120"/>
        <w:ind w:hanging="720" w:left="720"/>
        <w:jc w:val="both"/>
      </w:pPr>
      <w:r>
        <w:rPr>
          <w:rFonts w:ascii="Times New Roman" w:hAnsi="Times New Roman"/>
          <w:color w:val="000000"/>
          <w:sz w:val="24"/>
        </w:rPr>
        <w:t xml:space="preserve">Microsoft Corporation. (2026). </w:t>
      </w:r>
      <w:r>
        <w:rPr>
          <w:rFonts w:ascii="Times New Roman" w:hAnsi="Times New Roman"/>
          <w:i/>
          <w:color w:val="000000"/>
          <w:sz w:val="24"/>
        </w:rPr>
        <w:t xml:space="preserve">Transact-SQL and database engine architecture documentation. </w:t>
      </w:r>
      <w:r>
        <w:rPr>
          <w:rFonts w:ascii="Times New Roman" w:hAnsi="Times New Roman"/>
          <w:color w:val="000000"/>
          <w:sz w:val="24"/>
        </w:rPr>
        <w:t>Microsoft Learn. https://learn.microsoft.com/sql/</w:t>
      </w:r>
    </w:p>
    <w:p>
      <w:pPr>
        <w:spacing w:line="360" w:lineRule="auto" w:before="0" w:after="120"/>
        <w:ind w:hanging="720" w:left="720"/>
        <w:jc w:val="both"/>
      </w:pPr>
      <w:r>
        <w:rPr>
          <w:rFonts w:ascii="Times New Roman" w:hAnsi="Times New Roman"/>
          <w:color w:val="000000"/>
          <w:sz w:val="24"/>
        </w:rPr>
        <w:t xml:space="preserve">Silberschatz, A., Korth, H. F., &amp; Sudarshan, S. (2020). </w:t>
      </w:r>
      <w:r>
        <w:rPr>
          <w:rFonts w:ascii="Times New Roman" w:hAnsi="Times New Roman"/>
          <w:i/>
          <w:color w:val="000000"/>
          <w:sz w:val="24"/>
        </w:rPr>
        <w:t xml:space="preserve">Database system concepts </w:t>
      </w:r>
      <w:r>
        <w:rPr>
          <w:rFonts w:ascii="Times New Roman" w:hAnsi="Times New Roman"/>
          <w:color w:val="000000"/>
          <w:sz w:val="24"/>
        </w:rPr>
        <w:t>(7th ed.). McGraw-Hill Education.</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24"/>
      </w:rPr>
      <w:fldSimple w:instr="PAGE"/>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