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Morphological Analysis</w:t>
      </w:r>
    </w:p>
    <w:tbl>
      <w:tblPr>
        <w:tblStyle w:val="Table1"/>
        <w:tblW w:w="11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830"/>
        <w:gridCol w:w="1275"/>
        <w:gridCol w:w="1620"/>
        <w:gridCol w:w="1740"/>
        <w:gridCol w:w="1500"/>
        <w:gridCol w:w="1620"/>
        <w:tblGridChange w:id="0">
          <w:tblGrid>
            <w:gridCol w:w="1755"/>
            <w:gridCol w:w="1830"/>
            <w:gridCol w:w="1275"/>
            <w:gridCol w:w="1620"/>
            <w:gridCol w:w="1740"/>
            <w:gridCol w:w="150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Two Factor Authentication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Microcontroller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Interface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Inputs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Upgrade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Physical Security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RFID Card Insert (No 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Raspberry Pi Zero (No Change)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Revamp Lights and Sounds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Singular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120V (No Change)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Tap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ESP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Add in LCD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Security Screws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240V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Student/Local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 Pico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Multiple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Lock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3x3x2x3x4x3x4x3=7776 which is less than 10,000</w:t>
      </w:r>
    </w:p>
    <w:p w:rsidR="00000000" w:rsidDel="00000000" w:rsidP="00000000" w:rsidRDefault="00000000" w:rsidRPr="00000000" w14:paraId="0000002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Highly Likely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highlight w:val="yellow"/>
          <w:rtl w:val="0"/>
        </w:rPr>
        <w:t xml:space="preserve">Maybe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