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D257A"/>
          <w:sz w:val="40"/>
          <w:szCs w:val="40"/>
        </w:rPr>
        <w:t xml:space="preserve">Document de cadrage — Mini-mémoire</w:t>
      </w:r>
    </w:p>
    <w:p>
      <w:pPr>
        <w:pBdr>
          <w:bottom w:val="single" w:color="B8860B" w:sz="6" w:space="4"/>
        </w:pBdr>
        <w:spacing w:after="240"/>
      </w:pPr>
      <w:r>
        <w:rPr>
          <w:color w:val="555555"/>
          <w:sz w:val="26"/>
          <w:szCs w:val="26"/>
        </w:rPr>
        <w:t xml:space="preserve">Soutenabilité du système de retraite français par répartition à la lumière des projections démographiques Insee 2026</w:t>
      </w:r>
    </w:p>
    <w:p>
      <w:pPr>
        <w:spacing w:after="240"/>
      </w:pPr>
      <w:r>
        <w:rPr>
          <w:b/>
          <w:bCs/>
        </w:rPr>
        <w:t xml:space="preserve">Auteur : </w:t>
      </w:r>
      <w:r>
        <w:t xml:space="preserve">Axel Corral  |  </w:t>
      </w:r>
      <w:r>
        <w:rPr>
          <w:b/>
          <w:bCs/>
        </w:rPr>
        <w:t xml:space="preserve">Réf. millésime : </w:t>
      </w:r>
      <w:r>
        <w:t xml:space="preserve">Insee Première n°2108 (08/06/2026)  |  </w:t>
      </w:r>
      <w:r>
        <w:rPr>
          <w:b/>
          <w:bCs/>
        </w:rPr>
        <w:t xml:space="preserve">Date : </w:t>
      </w:r>
      <w:r>
        <w:t xml:space="preserve">9 juin 2026  |  </w:t>
      </w:r>
      <w:r>
        <w:rPr>
          <w:b/>
          <w:bCs/>
        </w:rPr>
        <w:t xml:space="preserve">Version : </w:t>
      </w:r>
      <w:r>
        <w:t xml:space="preserve">0.1 (cadrage)</w:t>
      </w:r>
    </w:p>
    <w:p>
      <w:pPr>
        <w:pStyle w:val="Heading1"/>
      </w:pPr>
      <w:r>
        <w:t xml:space="preserve">1. Décisions de cadrage (verrouillées)</w:t>
      </w:r>
    </w:p>
    <w:p>
      <w:pPr>
        <w:spacing w:after="120"/>
      </w:pPr>
      <w:r>
        <w:t xml:space="preserve">Les trois arbitrages structurants ont été tranchés. Ils conditionnent tout le reste du travail et ne seront pas rouverts sans justification explicite consignée dans le journal de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AF2" w:val="clear"/>
            <w:tcMar>
              <w:top w:type="dxa" w:w="80"/>
              <w:left w:type="dxa" w:w="120"/>
              <w:bottom w:type="dxa" w:w="80"/>
              <w:right w:type="dxa" w:w="120"/>
            </w:tcMar>
          </w:tcPr>
          <w:p>
            <w:r>
              <w:rPr>
                <w:b/>
                <w:bCs/>
                <w:sz w:val="20"/>
                <w:szCs w:val="20"/>
              </w:rPr>
              <w:t xml:space="preserve">Dimension</w:t>
            </w:r>
          </w:p>
        </w:tc>
        <w:tc>
          <w:tcPr>
            <w:tcW w:type="dxa" w:w="3120"/>
            <w:tcBorders>
              <w:top w:val="single" w:color="CCCCCC" w:sz="1"/>
              <w:left w:val="single" w:color="CCCCCC" w:sz="1"/>
              <w:bottom w:val="single" w:color="CCCCCC" w:sz="1"/>
              <w:right w:val="single" w:color="CCCCCC" w:sz="1"/>
            </w:tcBorders>
            <w:shd w:fill="E8EAF2" w:val="clear"/>
            <w:tcMar>
              <w:top w:type="dxa" w:w="80"/>
              <w:left w:type="dxa" w:w="120"/>
              <w:bottom w:type="dxa" w:w="80"/>
              <w:right w:type="dxa" w:w="120"/>
            </w:tcMar>
          </w:tcPr>
          <w:p>
            <w:r>
              <w:rPr>
                <w:b/>
                <w:bCs/>
                <w:sz w:val="20"/>
                <w:szCs w:val="20"/>
              </w:rPr>
              <w:t xml:space="preserve">Décision retenue</w:t>
            </w:r>
          </w:p>
        </w:tc>
        <w:tc>
          <w:tcPr>
            <w:tcW w:type="dxa" w:w="3120"/>
            <w:tcBorders>
              <w:top w:val="single" w:color="CCCCCC" w:sz="1"/>
              <w:left w:val="single" w:color="CCCCCC" w:sz="1"/>
              <w:bottom w:val="single" w:color="CCCCCC" w:sz="1"/>
              <w:right w:val="single" w:color="CCCCCC" w:sz="1"/>
            </w:tcBorders>
            <w:shd w:fill="E8EAF2" w:val="clear"/>
            <w:tcMar>
              <w:top w:type="dxa" w:w="80"/>
              <w:left w:type="dxa" w:w="120"/>
              <w:bottom w:type="dxa" w:w="80"/>
              <w:right w:type="dxa" w:w="120"/>
            </w:tcMar>
          </w:tcPr>
          <w:p>
            <w:r>
              <w:rPr>
                <w:b/>
                <w:bCs/>
                <w:sz w:val="20"/>
                <w:szCs w:val="20"/>
              </w:rPr>
              <w:t xml:space="preserve">Implication principale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Architecture de problématique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Hybride « P2-cœur » : frontière d'équilibre centrale, seuil critique en lecture, sensibilité démo en robustesse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Objet scientifique = frontière d'iso-équilibre ; le seuil 50 % devient une lecture, pas la thèse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Périmètre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Système entier (convention macro agrégée, esprit COR)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Comparabilité directe avec le COR = test de validation ; convention comptable à expliciter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Scénarios Insee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Central + fécondité basse/haute + migration basse/haute (5 scénarios)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Éventail démographique complet ; effet fécondité ne mord qu'après ~2048 (à expliciter)</w:t>
            </w:r>
          </w:p>
        </w:tc>
      </w:tr>
    </w:tbl>
    <w:p>
      <w:pPr>
        <w:spacing w:after="120"/>
      </w:pPr>
      <w:r>
        <w:t xml:space="preserve"/>
      </w:r>
    </w:p>
    <w:p>
      <w:pPr>
        <w:pStyle w:val="Heading1"/>
      </w:pPr>
      <w:r>
        <w:t xml:space="preserve">2. Problématique retenue</w:t>
      </w:r>
    </w:p>
    <w:p>
      <w:pPr>
        <w:spacing w:after="120"/>
      </w:pPr>
      <w:r>
        <w:rPr>
          <w:b/>
          <w:bCs/>
        </w:rPr>
        <w:t xml:space="preserve">Problématique centrale (P2). </w:t>
      </w:r>
      <w:r>
        <w:t xml:space="preserve">Quel est, à chaque horizon (2030, 2040, 2050, 2070), l'ensemble des combinaisons (taux de cotisation, niveau relatif des pensions, âge effectif de départ) compatibles avec l'équilibre financier du système de retraite par répartition, sous les projections démographiques Insee de juin 2026 ?</w:t>
      </w:r>
    </w:p>
    <w:p>
      <w:pPr>
        <w:spacing w:after="120"/>
      </w:pPr>
      <w:r>
        <w:rPr>
          <w:b/>
          <w:bCs/>
        </w:rPr>
        <w:t xml:space="preserve">Lecture « seuil » (P1, subordonnée). </w:t>
      </w:r>
      <w:r>
        <w:t xml:space="preserve">Cas particulier de la frontière : si l'ajustement passe exclusivement par les cotisations, à parité de niveau de vie maintenue entre retraités et actifs, à quel horizon le taux de cotisation d'équilibre franchit-il un seuil critique du coût du travail — et avec quelle sensibilité au choix de ce seuil (45/50/55 %) ?</w:t>
      </w:r>
    </w:p>
    <w:p>
      <w:pPr>
        <w:spacing w:after="120"/>
      </w:pPr>
      <w:r>
        <w:rPr>
          <w:b/>
          <w:bCs/>
        </w:rPr>
        <w:t xml:space="preserve">Chapitre de robustesse (P3, allégé). </w:t>
      </w:r>
      <w:r>
        <w:t xml:space="preserve">Sensibilité de l'équilibre financier à chaque composante démographique (fécondité, migration, mortalité), en s'appuyant sur l'éventail des cinq scénarios Insee.</w:t>
      </w:r>
    </w:p>
    <w:p>
      <w:pPr>
        <w:pStyle w:val="Heading1"/>
      </w:pPr>
      <w:r>
        <w:t xml:space="preserve">3. Positionnement et honnêteté scientifique</w:t>
      </w:r>
    </w:p>
    <w:p>
      <w:pPr>
        <w:spacing w:after="120"/>
      </w:pPr>
      <w:r>
        <w:t xml:space="preserve">Le COR réalise déjà ce type de projection financière. La valeur ajoutée de ce travail n'est donc pas l'inédit mais la transparence et la reproductibilité. Trois garde-fous garantissent l'honnêteté du positionnement :</w:t>
      </w:r>
    </w:p>
    <w:p>
      <w:pPr>
        <w:pStyle w:val="ListParagraph"/>
        <w:numPr>
          <w:ilvl w:val="0"/>
          <w:numId w:val="2"/>
        </w:numPr>
        <w:spacing w:after="60"/>
      </w:pPr>
      <w:r>
        <w:t xml:space="preserve">Nommer l'objet une </w:t>
      </w:r>
      <w:r>
        <w:rPr>
          <w:i/>
          <w:iCs/>
        </w:rPr>
        <w:t xml:space="preserve">maquette comptable agrégée</w:t>
      </w:r>
      <w:r>
        <w:t xml:space="preserve">, jamais un « modèle de projection des retraites ». Le COR s'appuie sur des microsimulations sur cas-types et carrières individuelles, non reproduites ici.</w:t>
      </w:r>
    </w:p>
    <w:p>
      <w:pPr>
        <w:pStyle w:val="ListParagraph"/>
        <w:numPr>
          <w:ilvl w:val="0"/>
          <w:numId w:val="2"/>
        </w:numPr>
        <w:spacing w:after="60"/>
      </w:pPr>
      <w:r>
        <w:t xml:space="preserve">Utiliser le COR comme </w:t>
      </w:r>
      <w:r>
        <w:rPr>
          <w:i/>
          <w:iCs/>
        </w:rPr>
        <w:t xml:space="preserve">benchmark de validation</w:t>
      </w:r>
      <w:r>
        <w:t xml:space="preserve">, non comme adversaire : si la maquette ne retombe pas à ±0,5 point de PIB des chiffres COR sur 2030-2040, c'est un signal de bug ou d'hypothèse divergente à identifier.</w:t>
      </w:r>
    </w:p>
    <w:p>
      <w:pPr>
        <w:pStyle w:val="ListParagraph"/>
        <w:numPr>
          <w:ilvl w:val="0"/>
          <w:numId w:val="2"/>
        </w:numPr>
        <w:spacing w:after="60"/>
      </w:pPr>
      <w:r>
        <w:t xml:space="preserve">Différenciation explicite : </w:t>
      </w:r>
      <w:r>
        <w:t xml:space="preserve">le calcul du COR, ouvert, reproductible, fondé sur les toutes dernières projections Insee, avec un indicateur de seuil que le COR ne publie pas et des scénarios personnalisés.</w:t>
      </w:r>
    </w:p>
    <w:p>
      <w:pPr>
        <w:pStyle w:val="Heading1"/>
      </w:pPr>
      <w:r>
        <w:t xml:space="preserve">4. Cadre conceptuel et équation fondamentale</w:t>
      </w:r>
    </w:p>
    <w:p>
      <w:pPr>
        <w:spacing w:after="120"/>
      </w:pPr>
      <w:r>
        <w:t xml:space="preserve">L'équilibre instantané d'un système par répartition pur s'écrit : </w:t>
      </w:r>
      <w:r>
        <w:rPr>
          <w:rFonts w:ascii="Consolas" w:cs="Consolas" w:eastAsia="Consolas" w:hAnsi="Consolas"/>
          <w:b/>
          <w:bCs/>
        </w:rPr>
        <w:t xml:space="preserve">τ(t) · W̄(t) · A(t) = P̄(t) · R(t)</w:t>
      </w:r>
      <w:r>
        <w:t xml:space="preserve">, d'où le taux de cotisation d'équilibre :</w:t>
      </w:r>
    </w:p>
    <w:p>
      <w:pPr>
        <w:spacing w:after="120" w:before="60"/>
        <w:jc w:val="center"/>
      </w:pPr>
      <w:r>
        <w:rPr>
          <w:rFonts w:ascii="Consolas" w:cs="Consolas" w:eastAsia="Consolas" w:hAnsi="Consolas"/>
          <w:b/>
          <w:bCs/>
          <w:color w:val="1D257A"/>
          <w:sz w:val="26"/>
          <w:szCs w:val="26"/>
        </w:rPr>
        <w:t xml:space="preserve">τ*(t) = [ R(t) / A(t) ] × [ P̄(t) / W̄(t) ]</w:t>
      </w:r>
    </w:p>
    <w:p>
      <w:pPr>
        <w:spacing w:after="120"/>
      </w:pPr>
      <w:r>
        <w:t xml:space="preserve">soit le produit du </w:t>
      </w:r>
      <w:r>
        <w:rPr>
          <w:b/>
          <w:bCs/>
        </w:rPr>
        <w:t xml:space="preserve">ratio de dépendance économique</w:t>
      </w:r>
      <w:r>
        <w:t xml:space="preserve"> (retraités sur cotisants) et de la </w:t>
      </w:r>
      <w:r>
        <w:rPr>
          <w:b/>
          <w:bCs/>
        </w:rPr>
        <w:t xml:space="preserve">pension moyenne relative</w:t>
      </w:r>
      <w:r>
        <w:t xml:space="preserve"> (pension moyenne rapportée au salaire moyen). Toute la mécanique du mémoire consiste à décomposer ces deux facteurs à partir de la pyramide des âges Insee.</w:t>
      </w:r>
    </w:p>
    <w:p>
      <w:pPr>
        <w:spacing w:after="120"/>
      </w:pPr>
      <w:r>
        <w:rPr>
          <w:b/>
          <w:bCs/>
          <w:color w:val="B8860B"/>
        </w:rPr>
        <w:t xml:space="preserve">Piège conceptuel central. </w:t>
      </w:r>
      <w:r>
        <w:t xml:space="preserve">« À législation constante » et « niveau de vie relatif constant » sont incompatibles. La loi indexe les pensions liquidées sur les prix, non sur les salaires. Deux scénarios polaires sont donc traités :</w:t>
      </w:r>
    </w:p>
    <w:p>
      <w:pPr>
        <w:pStyle w:val="ListParagraph"/>
        <w:numPr>
          <w:ilvl w:val="0"/>
          <w:numId w:val="2"/>
        </w:numPr>
        <w:spacing w:after="60"/>
      </w:pPr>
      <w:r>
        <w:rPr>
          <w:b/>
          <w:bCs/>
        </w:rPr>
        <w:t xml:space="preserve">Scénario L (législation constante) : </w:t>
      </w:r>
      <w:r>
        <w:t xml:space="preserve">τ fixe, indexation prix → la variable d'ajustement est la pension relative, qui dérive à la baisse au rythme de la productivité.</w:t>
      </w:r>
    </w:p>
    <w:p>
      <w:pPr>
        <w:pStyle w:val="ListParagraph"/>
        <w:numPr>
          <w:ilvl w:val="0"/>
          <w:numId w:val="2"/>
        </w:numPr>
        <w:spacing w:after="60"/>
      </w:pPr>
      <w:r>
        <w:rPr>
          <w:b/>
          <w:bCs/>
        </w:rPr>
        <w:t xml:space="preserve">Scénario N (parité de niveau de vie) : </w:t>
      </w:r>
      <w:r>
        <w:t xml:space="preserve">P̄/W̄ fixe (contrefactuel) → la variable d'ajustement est le taux de cotisation. C'est le terrain de la lecture « seuil ».</w:t>
      </w:r>
    </w:p>
    <w:p>
      <w:pPr>
        <w:pStyle w:val="Heading1"/>
      </w:pPr>
      <w:r>
        <w:t xml:space="preserve">5. Plan du mémoire</w:t>
      </w:r>
    </w:p>
    <w:p>
      <w:pPr>
        <w:pStyle w:val="ListParagraph"/>
        <w:numPr>
          <w:ilvl w:val="0"/>
          <w:numId w:val="2"/>
        </w:numPr>
        <w:spacing w:after="60"/>
      </w:pPr>
      <w:r>
        <w:rPr>
          <w:b/>
          <w:bCs/>
        </w:rPr>
        <w:t xml:space="preserve">Introduction — </w:t>
      </w:r>
      <w:r>
        <w:t xml:space="preserve">Contexte (solde naturel négatif depuis 2025, projections juin 2026), problématique, annonce du plan.</w:t>
      </w:r>
    </w:p>
    <w:p>
      <w:pPr>
        <w:pStyle w:val="ListParagraph"/>
        <w:numPr>
          <w:ilvl w:val="0"/>
          <w:numId w:val="2"/>
        </w:numPr>
        <w:spacing w:after="60"/>
      </w:pPr>
      <w:r>
        <w:rPr>
          <w:b/>
          <w:bCs/>
        </w:rPr>
        <w:t xml:space="preserve">Cadre conceptuel et littérature — </w:t>
      </w:r>
      <w:r>
        <w:t xml:space="preserve">Équation fondamentale, trois marges d'ajustement, travaux COR/DREES, distinction projection/prédiction.</w:t>
      </w:r>
    </w:p>
    <w:p>
      <w:pPr>
        <w:pStyle w:val="ListParagraph"/>
        <w:numPr>
          <w:ilvl w:val="0"/>
          <w:numId w:val="2"/>
        </w:numPr>
        <w:spacing w:after="60"/>
      </w:pPr>
      <w:r>
        <w:rPr>
          <w:b/>
          <w:bCs/>
        </w:rPr>
        <w:t xml:space="preserve">Données et hypothèses — </w:t>
      </w:r>
      <w:r>
        <w:t xml:space="preserve">Scénarios Insee 2026, conventions économiques reprises du COR, sources DREES. Tableau récapitulatif exhaustif des hypothèses.</w:t>
      </w:r>
    </w:p>
    <w:p>
      <w:pPr>
        <w:pStyle w:val="ListParagraph"/>
        <w:numPr>
          <w:ilvl w:val="0"/>
          <w:numId w:val="2"/>
        </w:numPr>
        <w:spacing w:after="60"/>
      </w:pPr>
      <w:r>
        <w:rPr>
          <w:b/>
          <w:bCs/>
        </w:rPr>
        <w:t xml:space="preserve">Méthodologie : maquette ouverte — </w:t>
      </w:r>
      <w:r>
        <w:t xml:space="preserve">Équations, passage démographique → économique, définition formelle des indicateurs (τ*, frontières).</w:t>
      </w:r>
    </w:p>
    <w:p>
      <w:pPr>
        <w:pStyle w:val="ListParagraph"/>
        <w:numPr>
          <w:ilvl w:val="0"/>
          <w:numId w:val="2"/>
        </w:numPr>
        <w:spacing w:after="60"/>
      </w:pPr>
      <w:r>
        <w:rPr>
          <w:b/>
          <w:bCs/>
        </w:rPr>
        <w:t xml:space="preserve">Résultats — </w:t>
      </w:r>
      <w:r>
        <w:t xml:space="preserve">Scénario central ; variantes démographiques ; frontières d'ajustement par horizon ; lecture « seuil » et sa sensibilité.</w:t>
      </w:r>
    </w:p>
    <w:p>
      <w:pPr>
        <w:pStyle w:val="ListParagraph"/>
        <w:numPr>
          <w:ilvl w:val="0"/>
          <w:numId w:val="2"/>
        </w:numPr>
        <w:spacing w:after="60"/>
      </w:pPr>
      <w:r>
        <w:rPr>
          <w:b/>
          <w:bCs/>
        </w:rPr>
        <w:t xml:space="preserve">Discussion et limites — </w:t>
      </w:r>
      <w:r>
        <w:t xml:space="preserve">Maquette agrégée vs microsimulation ; comportements non modélisés ; comparaison avec le dernier rapport COR (validation).</w:t>
      </w:r>
    </w:p>
    <w:p>
      <w:pPr>
        <w:pStyle w:val="ListParagraph"/>
        <w:numPr>
          <w:ilvl w:val="0"/>
          <w:numId w:val="2"/>
        </w:numPr>
        <w:spacing w:after="60"/>
      </w:pPr>
      <w:r>
        <w:rPr>
          <w:b/>
          <w:bCs/>
        </w:rPr>
        <w:t xml:space="preserve">Conclusion — </w:t>
      </w:r>
      <w:r>
        <w:t xml:space="preserve">Synthèse, portée et limites des résultats.</w:t>
      </w:r>
    </w:p>
    <w:p>
      <w:pPr>
        <w:spacing w:after="120"/>
      </w:pPr>
      <w:r>
        <w:rPr>
          <w:b/>
          <w:bCs/>
        </w:rPr>
        <w:t xml:space="preserve">Annexes : </w:t>
      </w:r>
      <w:r>
        <w:t xml:space="preserve">code Python documenté, dictionnaire des données, instructions de reproduction (dépôt versionné).</w:t>
      </w:r>
    </w:p>
    <w:p>
      <w:pPr>
        <w:pStyle w:val="Heading1"/>
      </w:pPr>
      <w:r>
        <w:t xml:space="preserve">6. Méthodologie de calcul</w:t>
      </w:r>
    </w:p>
    <w:p>
      <w:pPr>
        <w:pStyle w:val="Heading2"/>
      </w:pPr>
      <w:r>
        <w:t xml:space="preserve">6.1 Décomposition du ratio économique R(t)/A(t)</w:t>
      </w:r>
    </w:p>
    <w:p>
      <w:pPr>
        <w:spacing w:after="120"/>
      </w:pPr>
      <w:r>
        <w:t xml:space="preserve">Point de départ : la pyramide des âges Insee (par sexe et âge fin, chaque année, chaque scénario). On applique des taux d'activité/emploi par âge (Insee, projections de population active + conventions COR pour la montée en charge de la réforme 2023) pour obtenir les cotisants A(t), et des taux de retraités par âge (DREES) pour obtenir R(t). Le ratio passe d'environ 40/100 (démographique) à environ 1,7 cotisant par retraité aujourd'hui (économique).</w:t>
      </w:r>
    </w:p>
    <w:p>
      <w:pPr>
        <w:pStyle w:val="Heading2"/>
      </w:pPr>
      <w:r>
        <w:t xml:space="preserve">6.2 Trajectoire de la pension relative P̄(t)/W̄(t)</w:t>
      </w:r>
    </w:p>
    <w:p>
      <w:pPr>
        <w:spacing w:after="120"/>
      </w:pPr>
      <w:r>
        <w:t xml:space="preserve">Sous le scénario N, constante à sa valeur 2026 (à caler sur la DREES). Sous le scénario L, dérive modélisée : indexation prix des pensions liquidées + effet noria (renouvellement du stock par des liquidations à niveau plus élevé), avec la productivité g en paramètre. Une modélisation stylisée à deux ou trois paramètres suffit, dûment documentée.</w:t>
      </w:r>
    </w:p>
    <w:p>
      <w:pPr>
        <w:pStyle w:val="Heading2"/>
      </w:pPr>
      <w:r>
        <w:t xml:space="preserve">6.3 Conversion en points de PIB et validation</w:t>
      </w:r>
    </w:p>
    <w:p>
      <w:pPr>
        <w:spacing w:after="120"/>
      </w:pPr>
      <w:r>
        <w:t xml:space="preserve">Le solde s'exprime en points de PIB (approximation par la masse salariale × part stable des salaires, ou conventions COR), ce qui rend les résultats directement comparables au COR. Test de validation : convergence à ±0,5 point de PIB sur 2030-2040.</w:t>
      </w:r>
    </w:p>
    <w:p>
      <w:pPr>
        <w:pStyle w:val="Heading1"/>
      </w:pPr>
      <w:r>
        <w:t xml:space="preserve">7. Données de calage (tests unitaires fondateurs)</w:t>
      </w:r>
    </w:p>
    <w:p>
      <w:pPr>
        <w:spacing w:after="120"/>
      </w:pPr>
      <w:r>
        <w:t xml:space="preserve">Tant que ces valeurs officielles de l'IP 2108 (scénario central) ne sont pas reproduites par le code, aucune conclusion n'est légitime.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AF2" w:val="clear"/>
            <w:tcMar>
              <w:top w:type="dxa" w:w="80"/>
              <w:left w:type="dxa" w:w="120"/>
              <w:bottom w:type="dxa" w:w="80"/>
              <w:right w:type="dxa" w:w="120"/>
            </w:tcMar>
          </w:tcPr>
          <w:p>
            <w:r>
              <w:rPr>
                <w:b/>
                <w:bCs/>
                <w:sz w:val="20"/>
                <w:szCs w:val="20"/>
              </w:rPr>
              <w:t xml:space="preserve">Indicateur</w:t>
            </w:r>
          </w:p>
        </w:tc>
        <w:tc>
          <w:tcPr>
            <w:tcW w:type="dxa" w:w="3120"/>
            <w:tcBorders>
              <w:top w:val="single" w:color="CCCCCC" w:sz="1"/>
              <w:left w:val="single" w:color="CCCCCC" w:sz="1"/>
              <w:bottom w:val="single" w:color="CCCCCC" w:sz="1"/>
              <w:right w:val="single" w:color="CCCCCC" w:sz="1"/>
            </w:tcBorders>
            <w:shd w:fill="E8EAF2" w:val="clear"/>
            <w:tcMar>
              <w:top w:type="dxa" w:w="80"/>
              <w:left w:type="dxa" w:w="120"/>
              <w:bottom w:type="dxa" w:w="80"/>
              <w:right w:type="dxa" w:w="120"/>
            </w:tcMar>
          </w:tcPr>
          <w:p>
            <w:r>
              <w:rPr>
                <w:b/>
                <w:bCs/>
                <w:sz w:val="20"/>
                <w:szCs w:val="20"/>
              </w:rPr>
              <w:t xml:space="preserve">Année</w:t>
            </w:r>
          </w:p>
        </w:tc>
        <w:tc>
          <w:tcPr>
            <w:tcW w:type="dxa" w:w="3120"/>
            <w:tcBorders>
              <w:top w:val="single" w:color="CCCCCC" w:sz="1"/>
              <w:left w:val="single" w:color="CCCCCC" w:sz="1"/>
              <w:bottom w:val="single" w:color="CCCCCC" w:sz="1"/>
              <w:right w:val="single" w:color="CCCCCC" w:sz="1"/>
            </w:tcBorders>
            <w:shd w:fill="E8EAF2" w:val="clear"/>
            <w:tcMar>
              <w:top w:type="dxa" w:w="80"/>
              <w:left w:type="dxa" w:w="120"/>
              <w:bottom w:type="dxa" w:w="80"/>
              <w:right w:type="dxa" w:w="120"/>
            </w:tcMar>
          </w:tcPr>
          <w:p>
            <w:r>
              <w:rPr>
                <w:b/>
                <w:bCs/>
                <w:sz w:val="20"/>
                <w:szCs w:val="20"/>
              </w:rPr>
              <w:t xml:space="preserve">Valeur officielle Insee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Ratio dépendance 65+/20-64 (p. 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 / 2040 / 2070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 / 49 / 62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Population totale (M hab.)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2026 / 2037 / 2070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69,082 / 69,768 / 65,887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Hypothèses centrales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ICF dès 2028 / solde migratoire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1,45 enfant/femme / +150 000 an</w:t>
            </w:r>
          </w:p>
        </w:tc>
      </w:tr>
    </w:tbl>
    <w:p>
      <w:pPr>
        <w:pStyle w:val="Heading1"/>
      </w:pPr>
      <w:r>
        <w:t xml:space="preserve">8. Plan de démarrage (première semaine)</w:t>
      </w:r>
    </w:p>
    <w:p>
      <w:pPr>
        <w:pStyle w:val="ListParagraph"/>
        <w:numPr>
          <w:ilvl w:val="0"/>
          <w:numId w:val="2"/>
        </w:numPr>
        <w:spacing w:after="60"/>
      </w:pPr>
      <w:r>
        <w:rPr>
          <w:b/>
          <w:bCs/>
        </w:rPr>
        <w:t xml:space="preserve">J1–J2 : </w:t>
      </w:r>
      <w:r>
        <w:t xml:space="preserve">télécharger le xlsx de l'IP 2108 (lien « Données ») et l'Insee Résultats compagnon (population par sexe × âge fin × année × scénario). Script : recharger la pyramide, recalculer 40/49/62. Test fondateur.</w:t>
      </w:r>
    </w:p>
    <w:p>
      <w:pPr>
        <w:pStyle w:val="ListParagraph"/>
        <w:numPr>
          <w:ilvl w:val="0"/>
          <w:numId w:val="2"/>
        </w:numPr>
        <w:spacing w:after="60"/>
      </w:pPr>
      <w:r>
        <w:rPr>
          <w:b/>
          <w:bCs/>
        </w:rPr>
        <w:t xml:space="preserve">J3–J4 : </w:t>
      </w:r>
      <w:r>
        <w:t xml:space="preserve">lire le rapport annuel COR (chapitres conventions comptables et hypothèses économiques) ; consigner chaque paramètre repris dans hypotheses.yaml. Lire le billet de blog Insee d'avril 2026 sur le choix du 1,45.</w:t>
      </w:r>
    </w:p>
    <w:p>
      <w:pPr>
        <w:pStyle w:val="ListParagraph"/>
        <w:numPr>
          <w:ilvl w:val="0"/>
          <w:numId w:val="2"/>
        </w:numPr>
        <w:spacing w:after="60"/>
      </w:pPr>
      <w:r>
        <w:rPr>
          <w:b/>
          <w:bCs/>
        </w:rPr>
        <w:t xml:space="preserve">J5+ : </w:t>
      </w:r>
      <w:r>
        <w:t xml:space="preserve">récupérer l'édition DREES « Les retraités et les retraites » (effectifs, pension moyenne, masse) et les taux d'activité par âge. Écrire la maquette v0 : scénario central, parité, τ*(t) 2026→2070. Une seule courbe, mais la bonne.</w:t>
      </w:r>
    </w:p>
    <w:p>
      <w:pPr>
        <w:pStyle w:val="Heading1"/>
      </w:pPr>
      <w:r>
        <w:t xml:space="preserve">9. Avertissement méthodologique permanent</w:t>
      </w:r>
    </w:p>
    <w:p>
      <w:pPr>
        <w:spacing w:after="120"/>
      </w:pPr>
      <w:r>
        <w:t xml:space="preserve">Une </w:t>
      </w:r>
      <w:r>
        <w:rPr>
          <w:i/>
          <w:iCs/>
        </w:rPr>
        <w:t xml:space="preserve">projection</w:t>
      </w:r>
      <w:r>
        <w:t xml:space="preserve"> conditionnelle (« si les tendances se prolongeaient ») n'est </w:t>
      </w:r>
      <w:r>
        <w:rPr>
          <w:b/>
          <w:bCs/>
        </w:rPr>
        <w:t xml:space="preserve">pas</w:t>
      </w:r>
      <w:r>
        <w:t xml:space="preserve"> une </w:t>
      </w:r>
      <w:r>
        <w:rPr>
          <w:i/>
          <w:iCs/>
        </w:rPr>
        <w:t xml:space="preserve">prédiction</w:t>
      </w:r>
      <w:r>
        <w:t xml:space="preserve">. L'exercice est « toutes choses égales par ailleurs » : il ignore volontairement les ajustements comportementaux et les réformes futures, qui interviendraient bien avant tout franchissement de seuil. Les conclusions découlent des chiffres et des hypothèses explicitées, non d'un jugement politique.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Cadrage mémoire retraites — A. Corral — </w:t>
    </w:r>
    <w:r>
      <w:rPr>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D257A"/>
      <w:sz w:val="28"/>
      <w:szCs w:val="28"/>
    </w:rPr>
  </w:style>
  <w:style w:type="paragraph" w:styleId="Heading2">
    <w:name w:val="Heading 2"/>
    <w:basedOn w:val="Normal"/>
    <w:next w:val="Normal"/>
    <w:qFormat/>
    <w:pPr>
      <w:spacing w:after="100" w:before="160"/>
      <w:outlineLvl w:val="1"/>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2026-06-09T18:14:15.041Z</dcterms:created>
  <dcterms:modified xsi:type="dcterms:W3CDTF">2026-06-09T18:14:15.041Z</dcterms:modified>
</cp:coreProperties>
</file>

<file path=docProps/custom.xml><?xml version="1.0" encoding="utf-8"?>
<Properties xmlns="http://schemas.openxmlformats.org/officeDocument/2006/custom-properties" xmlns:vt="http://schemas.openxmlformats.org/officeDocument/2006/docPropsVTypes"/>
</file>