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313D4A85" wp14:editId="1760A27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71447F85" wp14:editId="6BDD13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5B243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5B243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1B4389A6" wp14:editId="09046A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6E5739">
          <w:pPr>
            <w:jc w:val="center"/>
          </w:pPr>
          <w:bookmarkStart w:id="0" w:name="_GoBack"/>
          <w:bookmarkEnd w:id="0"/>
          <w:r w:rsidRPr="00B20C79">
            <w:rPr>
              <w:b/>
            </w:rPr>
            <w:t xml:space="preserve">Zander </w:t>
          </w:r>
          <w:proofErr w:type="spellStart"/>
          <w:r w:rsidRPr="00B20C79">
            <w:rPr>
              <w:b/>
            </w:rPr>
            <w:t>Boshoff</w:t>
          </w:r>
          <w:proofErr w:type="spellEnd"/>
          <w:r>
            <w:t>:</w:t>
          </w:r>
          <w:r w:rsidR="00B20C79">
            <w:t xml:space="preserve"> 12035671</w:t>
          </w: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5B2431">
              <w:rPr>
                <w:noProof/>
                <w:webHidden/>
              </w:rPr>
              <w:t>2</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Pr>
                <w:noProof/>
                <w:webHidden/>
              </w:rPr>
              <w:t>2</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Pr>
                <w:noProof/>
                <w:webHidden/>
              </w:rPr>
              <w:t>2</w:t>
            </w:r>
            <w:r w:rsidR="00262C08">
              <w:rPr>
                <w:noProof/>
                <w:webHidden/>
              </w:rPr>
              <w:fldChar w:fldCharType="end"/>
            </w:r>
          </w:hyperlink>
        </w:p>
        <w:p w:rsidR="00262C08" w:rsidRDefault="005B2431">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Pr>
                <w:noProof/>
                <w:webHidden/>
              </w:rPr>
              <w:t>3</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Pr>
                <w:noProof/>
                <w:webHidden/>
              </w:rPr>
              <w:t>4</w:t>
            </w:r>
            <w:r w:rsidR="00262C08">
              <w:rPr>
                <w:noProof/>
                <w:webHidden/>
              </w:rPr>
              <w:fldChar w:fldCharType="end"/>
            </w:r>
          </w:hyperlink>
        </w:p>
        <w:p w:rsidR="00262C08" w:rsidRDefault="005B2431">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Pr>
                <w:noProof/>
                <w:webHidden/>
              </w:rPr>
              <w:t>4</w:t>
            </w:r>
            <w:r w:rsidR="00262C08">
              <w:rPr>
                <w:noProof/>
                <w:webHidden/>
              </w:rPr>
              <w:fldChar w:fldCharType="end"/>
            </w:r>
          </w:hyperlink>
        </w:p>
        <w:p w:rsidR="00262C08" w:rsidRDefault="005B2431">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Pr>
                <w:noProof/>
                <w:webHidden/>
              </w:rPr>
              <w:t>4</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Pr>
                <w:noProof/>
                <w:webHidden/>
              </w:rPr>
              <w:t>4</w:t>
            </w:r>
            <w:r w:rsidR="00262C08">
              <w:rPr>
                <w:noProof/>
                <w:webHidden/>
              </w:rPr>
              <w:fldChar w:fldCharType="end"/>
            </w:r>
          </w:hyperlink>
        </w:p>
        <w:p w:rsidR="00262C08" w:rsidRDefault="005B2431">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Pr>
                <w:noProof/>
                <w:webHidden/>
              </w:rPr>
              <w:t>4</w:t>
            </w:r>
            <w:r w:rsidR="00262C08">
              <w:rPr>
                <w:noProof/>
                <w:webHidden/>
              </w:rPr>
              <w:fldChar w:fldCharType="end"/>
            </w:r>
          </w:hyperlink>
        </w:p>
        <w:p w:rsidR="00262C08" w:rsidRDefault="005B2431">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Pr>
                <w:noProof/>
                <w:webHidden/>
              </w:rPr>
              <w:t>5</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Pr>
                <w:noProof/>
                <w:webHidden/>
              </w:rPr>
              <w:t>6</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Pr>
                <w:noProof/>
                <w:webHidden/>
              </w:rPr>
              <w:t>6</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Pr>
                <w:noProof/>
                <w:webHidden/>
              </w:rPr>
              <w:t>6</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Pr>
                <w:noProof/>
                <w:webHidden/>
              </w:rPr>
              <w:t>6</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Pr>
                <w:noProof/>
                <w:webHidden/>
              </w:rPr>
              <w:t>7</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Pr>
                <w:noProof/>
                <w:webHidden/>
              </w:rPr>
              <w:t>7</w:t>
            </w:r>
            <w:r w:rsidR="00262C08">
              <w:rPr>
                <w:noProof/>
                <w:webHidden/>
              </w:rPr>
              <w:fldChar w:fldCharType="end"/>
            </w:r>
          </w:hyperlink>
        </w:p>
        <w:p w:rsidR="00262C08" w:rsidRDefault="005B2431">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Pr>
                <w:noProof/>
                <w:webHidden/>
              </w:rPr>
              <w:t>7</w:t>
            </w:r>
            <w:r w:rsidR="00262C08">
              <w:rPr>
                <w:noProof/>
                <w:webHidden/>
              </w:rPr>
              <w:fldChar w:fldCharType="end"/>
            </w:r>
          </w:hyperlink>
        </w:p>
        <w:p w:rsidR="00262C08" w:rsidRDefault="005B2431">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Pr>
                <w:noProof/>
                <w:webHidden/>
              </w:rPr>
              <w:t>7</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1" w:name="_Toc420613782"/>
      <w:r>
        <w:lastRenderedPageBreak/>
        <w:t>Vision and Scope</w:t>
      </w:r>
      <w:bookmarkEnd w:id="1"/>
    </w:p>
    <w:p w:rsidR="0046003F" w:rsidRPr="0046003F" w:rsidRDefault="0046003F" w:rsidP="009C0B47">
      <w:pPr>
        <w:pStyle w:val="Subtitle"/>
      </w:pPr>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2" w:name="_Toc420613783"/>
      <w:r>
        <w:t>Vision</w:t>
      </w:r>
      <w:bookmarkEnd w:id="2"/>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480426" w:rsidRPr="009C0B47" w:rsidRDefault="00855A00" w:rsidP="009C0B47">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844912" w:rsidRDefault="0046003F" w:rsidP="00855A00">
      <w:pPr>
        <w:pStyle w:val="Heading2"/>
      </w:pPr>
      <w:bookmarkStart w:id="3" w:name="_Toc420613784"/>
      <w:r>
        <w:t>Scope</w:t>
      </w:r>
      <w:bookmarkEnd w:id="3"/>
    </w:p>
    <w:p w:rsidR="00E10C49" w:rsidRPr="00E10C49" w:rsidRDefault="00E10C49" w:rsidP="00E10C49"/>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6E4C41" w:rsidRDefault="006E4C41">
      <w:bookmarkStart w:id="4" w:name="_Toc420613785"/>
      <w:r>
        <w:br w:type="page"/>
      </w:r>
    </w:p>
    <w:p w:rsidR="006E4C41" w:rsidRDefault="006E4C4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Architectural Diagram</w:t>
      </w:r>
    </w:p>
    <w:p w:rsidR="00710826" w:rsidRDefault="006E4C41" w:rsidP="00710826">
      <w:pPr>
        <w:keepNext/>
      </w:pPr>
      <w:r>
        <w:rPr>
          <w:noProof/>
          <w:lang w:eastAsia="en-ZA"/>
        </w:rPr>
        <w:drawing>
          <wp:inline distT="0" distB="0" distL="0" distR="0" wp14:anchorId="443751DB" wp14:editId="194C2271">
            <wp:extent cx="8024122" cy="5697459"/>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36570" cy="5706297"/>
                    </a:xfrm>
                    <a:prstGeom prst="rect">
                      <a:avLst/>
                    </a:prstGeom>
                    <a:noFill/>
                    <a:ln>
                      <a:noFill/>
                    </a:ln>
                  </pic:spPr>
                </pic:pic>
              </a:graphicData>
            </a:graphic>
          </wp:inline>
        </w:drawing>
      </w:r>
    </w:p>
    <w:p w:rsidR="006E4C41" w:rsidRPr="00710826" w:rsidRDefault="00710826" w:rsidP="00710826">
      <w:pPr>
        <w:pStyle w:val="Caption"/>
      </w:pPr>
      <w:r>
        <w:t xml:space="preserve">Figure </w:t>
      </w:r>
      <w:r w:rsidR="005B2431">
        <w:fldChar w:fldCharType="begin"/>
      </w:r>
      <w:r w:rsidR="005B2431">
        <w:instrText xml:space="preserve"> SEQ Figure \* ARABIC </w:instrText>
      </w:r>
      <w:r w:rsidR="005B2431">
        <w:fldChar w:fldCharType="separate"/>
      </w:r>
      <w:r w:rsidR="005B2431">
        <w:rPr>
          <w:noProof/>
        </w:rPr>
        <w:t>1</w:t>
      </w:r>
      <w:r w:rsidR="005B2431">
        <w:rPr>
          <w:noProof/>
        </w:rPr>
        <w:fldChar w:fldCharType="end"/>
      </w:r>
      <w:r>
        <w:t xml:space="preserve"> - Diagrammatic representation of the architectural layout of the DriveStats application.</w:t>
      </w:r>
      <w:r w:rsidR="006E4C41">
        <w:br w:type="page"/>
      </w:r>
    </w:p>
    <w:p w:rsidR="00E37DC8" w:rsidRDefault="006B5D28" w:rsidP="00941B88">
      <w:pPr>
        <w:pStyle w:val="Heading1"/>
      </w:pPr>
      <w:r>
        <w:lastRenderedPageBreak/>
        <w:t>Access and Integration Requirements</w:t>
      </w:r>
      <w:bookmarkEnd w:id="4"/>
    </w:p>
    <w:p w:rsidR="006B5D28" w:rsidRDefault="006B5D28" w:rsidP="006B5D28"/>
    <w:p w:rsidR="006B5D28" w:rsidRDefault="006B5D28" w:rsidP="00941B88">
      <w:pPr>
        <w:pStyle w:val="Heading2"/>
      </w:pPr>
      <w:bookmarkStart w:id="5" w:name="_Toc420613786"/>
      <w:r>
        <w:t>Access Channels</w:t>
      </w:r>
      <w:bookmarkEnd w:id="5"/>
    </w:p>
    <w:p w:rsidR="00941B88" w:rsidRDefault="00941B88" w:rsidP="006B5D28"/>
    <w:p w:rsidR="006B5D28" w:rsidRDefault="006B5D28" w:rsidP="00941B88">
      <w:pPr>
        <w:pStyle w:val="Heading3"/>
      </w:pPr>
      <w:bookmarkStart w:id="6" w:name="_Toc420613787"/>
      <w:r>
        <w:t>Human Access Channels</w:t>
      </w:r>
      <w:bookmarkEnd w:id="6"/>
    </w:p>
    <w:p w:rsidR="006B5D28" w:rsidRDefault="00BC4739" w:rsidP="006B5D28">
      <w:r>
        <w:t>The Drive</w:t>
      </w:r>
      <w:r w:rsidR="006A2937">
        <w:t xml:space="preserve">stats system user human access component must be an app for Android devices and must make use of Android sensing capabilities including but not limited to 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7" w:name="_Toc420613788"/>
      <w:r>
        <w:t>System Access Channels</w:t>
      </w:r>
      <w:bookmarkEnd w:id="7"/>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8" w:name="_Toc420613789"/>
      <w:r>
        <w:t>Integration Channels</w:t>
      </w:r>
      <w:bookmarkEnd w:id="8"/>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9" w:name="_Toc420613790"/>
      <w:r>
        <w:t>Architectural Responsibilities</w:t>
      </w:r>
      <w:bookmarkEnd w:id="9"/>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10" w:name="_Toc420613791"/>
      <w:r>
        <w:br w:type="page"/>
      </w:r>
    </w:p>
    <w:p w:rsidR="009E2A65" w:rsidRDefault="0085152A" w:rsidP="00941B88">
      <w:pPr>
        <w:pStyle w:val="Heading1"/>
      </w:pPr>
      <w:r>
        <w:lastRenderedPageBreak/>
        <w:t>Quality Requirements</w:t>
      </w:r>
      <w:bookmarkEnd w:id="10"/>
    </w:p>
    <w:p w:rsidR="0085152A" w:rsidRDefault="0085152A" w:rsidP="009E2A65"/>
    <w:p w:rsidR="0085152A" w:rsidRDefault="005B5756" w:rsidP="00941B88">
      <w:pPr>
        <w:pStyle w:val="Heading2"/>
      </w:pPr>
      <w:bookmarkStart w:id="11" w:name="_Toc420613792"/>
      <w:r>
        <w:t>Scalability</w:t>
      </w:r>
      <w:bookmarkEnd w:id="11"/>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2" w:name="_Toc420613793"/>
      <w:r>
        <w:t>Performance Requirements</w:t>
      </w:r>
      <w:bookmarkEnd w:id="12"/>
    </w:p>
    <w:p w:rsidR="009A4FE9" w:rsidRPr="009A4FE9" w:rsidRDefault="009A4FE9" w:rsidP="009A4FE9"/>
    <w:p w:rsidR="008A15EE" w:rsidRDefault="008A15EE" w:rsidP="008A15EE">
      <w:pPr>
        <w:pStyle w:val="Heading3"/>
      </w:pPr>
      <w:bookmarkStart w:id="13" w:name="_Toc420613794"/>
      <w:r w:rsidRPr="008A15EE">
        <w:t>Response Time</w:t>
      </w:r>
      <w:bookmarkEnd w:id="13"/>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4" w:name="_Toc420613795"/>
      <w:r w:rsidR="009A4FE9" w:rsidRPr="008A15EE">
        <w:t>Workload</w:t>
      </w:r>
      <w:bookmarkEnd w:id="14"/>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5" w:name="_Toc420613796"/>
      <w:r w:rsidRPr="00AA571B">
        <w:t>Platform</w:t>
      </w:r>
      <w:bookmarkEnd w:id="15"/>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6" w:name="_Toc420613797"/>
      <w:r>
        <w:lastRenderedPageBreak/>
        <w:t>Maintainability</w:t>
      </w:r>
      <w:bookmarkEnd w:id="16"/>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7" w:name="_Toc420613798"/>
      <w:r>
        <w:t>Reliability and Availability</w:t>
      </w:r>
      <w:bookmarkEnd w:id="17"/>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8" w:name="_Toc420613799"/>
      <w:r>
        <w:t>Security</w:t>
      </w:r>
      <w:bookmarkEnd w:id="18"/>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9"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9"/>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20" w:name="_Toc420613801"/>
      <w:r>
        <w:lastRenderedPageBreak/>
        <w:t>Testability</w:t>
      </w:r>
      <w:bookmarkEnd w:id="20"/>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1" w:name="_Toc420613802"/>
      <w:r>
        <w:t>Usability</w:t>
      </w:r>
      <w:bookmarkEnd w:id="21"/>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2" w:name="_Toc420613803"/>
      <w:r>
        <w:t>Integratablity</w:t>
      </w:r>
      <w:bookmarkEnd w:id="22"/>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3" w:name="_Toc420613804"/>
      <w:r w:rsidRPr="00941B88">
        <w:rPr>
          <w:rStyle w:val="Heading1Char"/>
        </w:rPr>
        <w:t>Architectural Constraints</w:t>
      </w:r>
      <w:bookmarkEnd w:id="23"/>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p>
    <w:p w:rsidR="00B35218" w:rsidRDefault="00B35218" w:rsidP="00537B50">
      <w:pPr>
        <w:pStyle w:val="Heading2"/>
      </w:pPr>
      <w:r>
        <w:t>Build Details</w:t>
      </w:r>
    </w:p>
    <w:p w:rsidR="00B35218" w:rsidRDefault="00B35218" w:rsidP="00B35218">
      <w:pPr>
        <w:pStyle w:val="ListParagraph"/>
        <w:numPr>
          <w:ilvl w:val="0"/>
          <w:numId w:val="8"/>
        </w:numPr>
      </w:pPr>
      <w:r>
        <w:t>Visual Studio 2012 used for C# server-side development</w:t>
      </w:r>
    </w:p>
    <w:p w:rsidR="00B35218" w:rsidRDefault="00B35218" w:rsidP="00B35218">
      <w:pPr>
        <w:pStyle w:val="ListParagraph"/>
        <w:numPr>
          <w:ilvl w:val="0"/>
          <w:numId w:val="8"/>
        </w:numPr>
      </w:pPr>
      <w:r>
        <w:t>Entity framework used as ORM</w:t>
      </w:r>
    </w:p>
    <w:p w:rsidR="00B35218" w:rsidRDefault="00B35218" w:rsidP="00B35218">
      <w:pPr>
        <w:pStyle w:val="ListParagraph"/>
        <w:numPr>
          <w:ilvl w:val="0"/>
          <w:numId w:val="8"/>
        </w:numPr>
      </w:pPr>
      <w:proofErr w:type="spellStart"/>
      <w:r>
        <w:t>Github</w:t>
      </w:r>
      <w:proofErr w:type="spellEnd"/>
      <w:r>
        <w:t xml:space="preserve"> used for version control</w:t>
      </w:r>
    </w:p>
    <w:p w:rsidR="00B35218" w:rsidRDefault="00B35218" w:rsidP="00B35218">
      <w:pPr>
        <w:pStyle w:val="ListParagraph"/>
        <w:numPr>
          <w:ilvl w:val="0"/>
          <w:numId w:val="8"/>
        </w:numPr>
      </w:pPr>
      <w:r>
        <w:t>Unit tests created with Test Explorer (built in to Visual Studio 2012)</w:t>
      </w:r>
    </w:p>
    <w:p w:rsidR="00B35218" w:rsidRDefault="00B35218" w:rsidP="00B35218">
      <w:pPr>
        <w:pStyle w:val="ListParagraph"/>
        <w:numPr>
          <w:ilvl w:val="0"/>
          <w:numId w:val="8"/>
        </w:numPr>
      </w:pPr>
      <w:r>
        <w:lastRenderedPageBreak/>
        <w:t>Normalisation and algorithm development was created in tandem with Wolfram Alpha online (testing specific code exists in initial distributions)</w:t>
      </w:r>
    </w:p>
    <w:sectPr w:rsidR="00B35218"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15:restartNumberingAfterBreak="0">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37B50"/>
    <w:rsid w:val="005426E7"/>
    <w:rsid w:val="005A3F66"/>
    <w:rsid w:val="005B2431"/>
    <w:rsid w:val="005B5756"/>
    <w:rsid w:val="00664993"/>
    <w:rsid w:val="0067767A"/>
    <w:rsid w:val="00697C10"/>
    <w:rsid w:val="006A2937"/>
    <w:rsid w:val="006B5D28"/>
    <w:rsid w:val="006E4C41"/>
    <w:rsid w:val="006E5739"/>
    <w:rsid w:val="006F4C69"/>
    <w:rsid w:val="00710826"/>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C0B47"/>
    <w:rsid w:val="009E2A65"/>
    <w:rsid w:val="00A37C05"/>
    <w:rsid w:val="00A7668A"/>
    <w:rsid w:val="00AA571B"/>
    <w:rsid w:val="00B171E4"/>
    <w:rsid w:val="00B20C79"/>
    <w:rsid w:val="00B35218"/>
    <w:rsid w:val="00B70F5F"/>
    <w:rsid w:val="00BA4733"/>
    <w:rsid w:val="00BC4739"/>
    <w:rsid w:val="00BE7755"/>
    <w:rsid w:val="00C05247"/>
    <w:rsid w:val="00C107C9"/>
    <w:rsid w:val="00C26F2A"/>
    <w:rsid w:val="00C528A9"/>
    <w:rsid w:val="00C87A6F"/>
    <w:rsid w:val="00CD4C40"/>
    <w:rsid w:val="00D45CE3"/>
    <w:rsid w:val="00E0383F"/>
    <w:rsid w:val="00E10C49"/>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 w:type="paragraph" w:styleId="Subtitle">
    <w:name w:val="Subtitle"/>
    <w:basedOn w:val="Normal"/>
    <w:next w:val="Normal"/>
    <w:link w:val="SubtitleChar"/>
    <w:uiPriority w:val="11"/>
    <w:qFormat/>
    <w:rsid w:val="009C0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B47"/>
    <w:rPr>
      <w:rFonts w:eastAsiaTheme="minorEastAsia"/>
      <w:color w:val="5A5A5A" w:themeColor="text1" w:themeTint="A5"/>
      <w:spacing w:val="15"/>
    </w:rPr>
  </w:style>
  <w:style w:type="paragraph" w:styleId="Caption">
    <w:name w:val="caption"/>
    <w:basedOn w:val="Normal"/>
    <w:next w:val="Normal"/>
    <w:uiPriority w:val="35"/>
    <w:unhideWhenUsed/>
    <w:qFormat/>
    <w:rsid w:val="007108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054ED8"/>
    <w:rsid w:val="001822CA"/>
    <w:rsid w:val="00446FA6"/>
    <w:rsid w:val="00693D11"/>
    <w:rsid w:val="0082379E"/>
    <w:rsid w:val="008B65BC"/>
    <w:rsid w:val="009D109C"/>
    <w:rsid w:val="00EA67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513E0-FAB2-4440-ABB8-4EB87AC4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Axel</cp:lastModifiedBy>
  <cp:revision>23</cp:revision>
  <cp:lastPrinted>2015-08-21T07:12:00Z</cp:lastPrinted>
  <dcterms:created xsi:type="dcterms:W3CDTF">2015-05-28T20:01:00Z</dcterms:created>
  <dcterms:modified xsi:type="dcterms:W3CDTF">2015-08-21T07:13:00Z</dcterms:modified>
</cp:coreProperties>
</file>