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Guía de Aislamiento Supabase — Proyecto Centinela</w:t>
      </w:r>
    </w:p>
    <w:p/>
    <w:p>
      <w:r>
        <w:t>Propósito: garantizar que el desarrollo de Centinela no afecte al proyecto RECI ni a ningún otro sistema que comparta la misma cuenta de Supabase.</w:t>
      </w:r>
    </w:p>
    <w:p/>
    <w:p>
      <w:r>
        <w:t>Regla de oro</w:t>
      </w:r>
    </w:p>
    <w:p>
      <w:r>
        <w:t>Centinela = proyecto Supabase nuevo. RECI = proyecto Supabase existente. Nunca mezclar URLs, anon keys, service role keys, buckets ni migraciones.</w:t>
      </w:r>
    </w:p>
    <w:p/>
    <w:p>
      <w:r>
        <w:t>Pasos para crear el entorno Centinela (Sprint 0.2)</w:t>
      </w:r>
    </w:p>
    <w:p>
      <w:r>
        <w:t>1. Ir a supabase.com/dashboard y crear proyecto nuevo.</w:t>
      </w:r>
    </w:p>
    <w:p>
      <w:r>
        <w:t>2. Nombre sugerido: centinela-mvp (región cercana a Ecuador si está disponible).</w:t>
      </w:r>
    </w:p>
    <w:p>
      <w:r>
        <w:t>3. Guardar URL y anon key en un archivo .env.local SOLO dentro de ProyectoEmilia/.</w:t>
      </w:r>
    </w:p>
    <w:p>
      <w:r>
        <w:t>4. Prefijo de variables: CENTINELA_SUPABASE_URL, CENTINELA_SUPABASE_ANON_KEY.</w:t>
      </w:r>
    </w:p>
    <w:p>
      <w:r>
        <w:t>5. Ejecutar supabase/migrations/20250625000000_initial_schema.sql en el SQL Editor del proyecto nuevo.</w:t>
      </w:r>
    </w:p>
    <w:p>
      <w:r>
        <w:t>6. Crear bucket Storage: centinela-fotos (privado; acceso vía signed URLs en Sprint 2).</w:t>
      </w:r>
    </w:p>
    <w:p>
      <w:r>
        <w:t>7. Verificar en el dashboard que el project ref NO coincide con el de RECI.</w:t>
      </w:r>
    </w:p>
    <w:p/>
    <w:p>
      <w:r>
        <w:t>Qué NO hacer</w:t>
      </w:r>
    </w:p>
    <w:p>
      <w:r>
        <w:t>• No copiar .env de RECI a este repositorio.</w:t>
      </w:r>
    </w:p>
    <w:p>
      <w:r>
        <w:t>• No ejecutar migraciones de Centinela en la base de datos de RECI.</w:t>
      </w:r>
    </w:p>
    <w:p>
      <w:r>
        <w:t>• No reutilizar nombres de tablas conflictivos si algún día compartieran org (Centinela usa usuarios, alertas_desaparecidos, reacciones_avistamientos en su propia BD).</w:t>
      </w:r>
    </w:p>
    <w:p>
      <w:r>
        <w:t>• No commitear claves API al repositorio Git.</w:t>
      </w:r>
    </w:p>
    <w:p>
      <w:r>
        <w:t>• No vincular el MCP de Supabase en Cursor al proyecto RECI cuando trabajes en Centinela.</w:t>
      </w:r>
    </w:p>
    <w:p/>
    <w:p>
      <w:r>
        <w:t>Trabajo con Cursor / MCP Supabase</w:t>
      </w:r>
    </w:p>
    <w:p>
      <w:r>
        <w:t>Al usar el plugin Supabase en Cursor, selecciona explícitamente el proyecto centinela-mvp antes de ejecutar SQL o revisar tablas. Si el MCP queda conectado a RECI, desconéctalo o cambia de proyecto antes de cualquier operación de Centinela.</w:t>
      </w:r>
    </w:p>
    <w:p/>
    <w:p>
      <w:r>
        <w:t>Checklist antes de cada sesión de desarrollo</w:t>
      </w:r>
    </w:p>
    <w:p>
      <w:r>
        <w:t>□ ¿Estoy en la carpeta ProyectoEmilia?</w:t>
      </w:r>
    </w:p>
    <w:p>
      <w:r>
        <w:t>□ ¿Mis variables de entorno apuntan a centinela-mvp?</w:t>
      </w:r>
    </w:p>
    <w:p>
      <w:r>
        <w:t>□ ¿El SQL que voy a ejecutar es de supabase/migrations/ de Centinela?</w:t>
      </w:r>
    </w:p>
    <w:p>
      <w:r>
        <w:t>□ ¿No hay claves de RECI en mi .env actual?</w:t>
      </w:r>
    </w:p>
    <w:p/>
    <w:p>
      <w:r>
        <w:t>Recuperación si hubo confusión</w:t>
      </w:r>
    </w:p>
    <w:p>
      <w:r>
        <w:t>Si accidentalmente ejecutaste SQL de Centinela en RECI: detén inmediatamente, documenta qué script corriste, revisa el historial del SQL Editor de Supabase y restaura desde backup de RECI si es necesario. Por eso esta guía exige proyecto separado.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