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b w:val="1"/>
          <w:sz w:val="36"/>
          <w:szCs w:val="36"/>
          <w:rtl w:val="0"/>
        </w:rPr>
        <w:t xml:space="preserve">Anexo. Traditional Credit Risk Model</w:t>
      </w:r>
      <w:r w:rsidDel="00000000" w:rsidR="00000000" w:rsidRPr="00000000">
        <w:rPr>
          <w:rtl w:val="0"/>
        </w:rPr>
      </w:r>
    </w:p>
    <w:p w:rsidR="00000000" w:rsidDel="00000000" w:rsidP="00000000" w:rsidRDefault="00000000" w:rsidRPr="00000000" w14:paraId="00000002">
      <w:pPr>
        <w:spacing w:after="240" w:before="240" w:lineRule="auto"/>
        <w:rPr>
          <w:b w:val="1"/>
          <w:sz w:val="28"/>
          <w:szCs w:val="28"/>
        </w:rPr>
      </w:pPr>
      <w:r w:rsidDel="00000000" w:rsidR="00000000" w:rsidRPr="00000000">
        <w:rPr>
          <w:b w:val="1"/>
          <w:sz w:val="28"/>
          <w:szCs w:val="28"/>
          <w:rtl w:val="0"/>
        </w:rPr>
        <w:t xml:space="preserve">Cleaning process and EDA</w:t>
      </w:r>
    </w:p>
    <w:p w:rsidR="00000000" w:rsidDel="00000000" w:rsidP="00000000" w:rsidRDefault="00000000" w:rsidRPr="00000000" w14:paraId="00000003">
      <w:pPr>
        <w:spacing w:after="240" w:before="240" w:lineRule="auto"/>
        <w:rPr>
          <w:sz w:val="28"/>
          <w:szCs w:val="28"/>
        </w:rPr>
      </w:pPr>
      <w:r w:rsidDel="00000000" w:rsidR="00000000" w:rsidRPr="00000000">
        <w:rPr>
          <w:sz w:val="28"/>
          <w:szCs w:val="28"/>
          <w:rtl w:val="0"/>
        </w:rPr>
        <w:t xml:space="preserve">As part of the data cleaning process, we conducted the following steps. Some of this analysis was not even later used or taken into consideration for our models, but they were made to ensure good practice and to leave the bases for a possible project continuation and/or improvement.</w:t>
      </w:r>
    </w:p>
    <w:p w:rsidR="00000000" w:rsidDel="00000000" w:rsidP="00000000" w:rsidRDefault="00000000" w:rsidRPr="00000000" w14:paraId="00000004">
      <w:pPr>
        <w:numPr>
          <w:ilvl w:val="0"/>
          <w:numId w:val="1"/>
        </w:numPr>
        <w:spacing w:after="240" w:before="240" w:lineRule="auto"/>
        <w:ind w:left="720" w:hanging="360"/>
        <w:rPr>
          <w:sz w:val="28"/>
          <w:szCs w:val="28"/>
        </w:rPr>
      </w:pPr>
      <w:r w:rsidDel="00000000" w:rsidR="00000000" w:rsidRPr="00000000">
        <w:rPr>
          <w:b w:val="1"/>
          <w:sz w:val="28"/>
          <w:szCs w:val="28"/>
          <w:rtl w:val="0"/>
        </w:rPr>
        <w:t xml:space="preserve">Handling Missing Values</w:t>
      </w:r>
      <w:r w:rsidDel="00000000" w:rsidR="00000000" w:rsidRPr="00000000">
        <w:rPr>
          <w:sz w:val="28"/>
          <w:szCs w:val="28"/>
          <w:rtl w:val="0"/>
        </w:rPr>
        <w:t xml:space="preserve"> – We checked for null values across all variables.</w:t>
      </w:r>
    </w:p>
    <w:p w:rsidR="00000000" w:rsidDel="00000000" w:rsidP="00000000" w:rsidRDefault="00000000" w:rsidRPr="00000000" w14:paraId="00000005">
      <w:pPr>
        <w:spacing w:after="240" w:before="240" w:lineRule="auto"/>
        <w:rPr>
          <w:sz w:val="28"/>
          <w:szCs w:val="28"/>
        </w:rPr>
      </w:pPr>
      <w:r w:rsidDel="00000000" w:rsidR="00000000" w:rsidRPr="00000000">
        <w:rPr>
          <w:sz w:val="28"/>
          <w:szCs w:val="28"/>
        </w:rPr>
        <w:drawing>
          <wp:inline distB="114300" distT="114300" distL="114300" distR="114300">
            <wp:extent cx="5731200" cy="5994400"/>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59944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240" w:before="240" w:lineRule="auto"/>
        <w:rPr>
          <w:sz w:val="28"/>
          <w:szCs w:val="28"/>
        </w:rPr>
      </w:pPr>
      <w:r w:rsidDel="00000000" w:rsidR="00000000" w:rsidRPr="00000000">
        <w:rPr>
          <w:sz w:val="28"/>
          <w:szCs w:val="28"/>
          <w:rtl w:val="0"/>
        </w:rPr>
        <w:t xml:space="preserve">In this first result, apparently there were no null values, although each column was still analyzed to see if there were no “garbage” or incorrect values.</w:t>
      </w:r>
    </w:p>
    <w:p w:rsidR="00000000" w:rsidDel="00000000" w:rsidP="00000000" w:rsidRDefault="00000000" w:rsidRPr="00000000" w14:paraId="00000007">
      <w:pPr>
        <w:numPr>
          <w:ilvl w:val="0"/>
          <w:numId w:val="1"/>
        </w:numPr>
        <w:spacing w:after="240" w:before="240" w:lineRule="auto"/>
        <w:ind w:left="720" w:hanging="360"/>
        <w:rPr>
          <w:sz w:val="28"/>
          <w:szCs w:val="28"/>
        </w:rPr>
      </w:pPr>
      <w:r w:rsidDel="00000000" w:rsidR="00000000" w:rsidRPr="00000000">
        <w:rPr>
          <w:b w:val="1"/>
          <w:sz w:val="28"/>
          <w:szCs w:val="28"/>
          <w:rtl w:val="0"/>
        </w:rPr>
        <w:t xml:space="preserve">Variable Classification</w:t>
      </w:r>
      <w:r w:rsidDel="00000000" w:rsidR="00000000" w:rsidRPr="00000000">
        <w:rPr>
          <w:sz w:val="28"/>
          <w:szCs w:val="28"/>
          <w:rtl w:val="0"/>
        </w:rPr>
        <w:t xml:space="preserve"> – We categorized the variables into nominal, ordinal, interval, and ratio scales.</w:t>
      </w:r>
    </w:p>
    <w:p w:rsidR="00000000" w:rsidDel="00000000" w:rsidP="00000000" w:rsidRDefault="00000000" w:rsidRPr="00000000" w14:paraId="00000008">
      <w:pPr>
        <w:spacing w:after="240" w:before="240" w:lineRule="auto"/>
        <w:rPr>
          <w:sz w:val="28"/>
          <w:szCs w:val="28"/>
        </w:rPr>
      </w:pPr>
      <w:r w:rsidDel="00000000" w:rsidR="00000000" w:rsidRPr="00000000">
        <w:rPr>
          <w:sz w:val="28"/>
          <w:szCs w:val="28"/>
        </w:rPr>
        <w:drawing>
          <wp:inline distB="114300" distT="114300" distL="114300" distR="114300">
            <wp:extent cx="5731200" cy="116840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0"/>
          <w:numId w:val="1"/>
        </w:numPr>
        <w:spacing w:after="0" w:afterAutospacing="0" w:before="240" w:lineRule="auto"/>
        <w:ind w:left="720" w:hanging="360"/>
        <w:rPr>
          <w:sz w:val="28"/>
          <w:szCs w:val="28"/>
        </w:rPr>
      </w:pPr>
      <w:r w:rsidDel="00000000" w:rsidR="00000000" w:rsidRPr="00000000">
        <w:rPr>
          <w:b w:val="1"/>
          <w:sz w:val="28"/>
          <w:szCs w:val="28"/>
          <w:rtl w:val="0"/>
        </w:rPr>
        <w:t xml:space="preserve">Cardinality Analysis</w:t>
      </w:r>
      <w:r w:rsidDel="00000000" w:rsidR="00000000" w:rsidRPr="00000000">
        <w:rPr>
          <w:sz w:val="28"/>
          <w:szCs w:val="28"/>
          <w:rtl w:val="0"/>
        </w:rPr>
        <w:t xml:space="preserve"> – For nominal and ordinal variables, we examined unique values to assess whether they exhibited high or low cardinality.</w:t>
      </w:r>
    </w:p>
    <w:p w:rsidR="00000000" w:rsidDel="00000000" w:rsidP="00000000" w:rsidRDefault="00000000" w:rsidRPr="00000000" w14:paraId="0000000A">
      <w:pPr>
        <w:numPr>
          <w:ilvl w:val="1"/>
          <w:numId w:val="1"/>
        </w:numPr>
        <w:spacing w:after="0" w:afterAutospacing="0" w:before="0" w:beforeAutospacing="0" w:lineRule="auto"/>
        <w:ind w:left="1440" w:hanging="360"/>
        <w:rPr>
          <w:sz w:val="28"/>
          <w:szCs w:val="28"/>
        </w:rPr>
      </w:pPr>
      <w:r w:rsidDel="00000000" w:rsidR="00000000" w:rsidRPr="00000000">
        <w:rPr>
          <w:b w:val="1"/>
          <w:sz w:val="28"/>
          <w:szCs w:val="28"/>
          <w:rtl w:val="0"/>
        </w:rPr>
        <w:t xml:space="preserve">Low cardinality:</w:t>
      </w:r>
      <w:r w:rsidDel="00000000" w:rsidR="00000000" w:rsidRPr="00000000">
        <w:rPr>
          <w:sz w:val="28"/>
          <w:szCs w:val="28"/>
          <w:rtl w:val="0"/>
        </w:rPr>
        <w:t xml:space="preserve"> “Credit_Mix”, “Payment_of_Min_Amount”, “Payment_Behaviour”, “Credit_Score”</w:t>
      </w:r>
    </w:p>
    <w:p w:rsidR="00000000" w:rsidDel="00000000" w:rsidP="00000000" w:rsidRDefault="00000000" w:rsidRPr="00000000" w14:paraId="0000000B">
      <w:pPr>
        <w:numPr>
          <w:ilvl w:val="1"/>
          <w:numId w:val="1"/>
        </w:numPr>
        <w:spacing w:after="0" w:afterAutospacing="0" w:before="0" w:beforeAutospacing="0" w:lineRule="auto"/>
        <w:ind w:left="1440" w:hanging="360"/>
        <w:rPr>
          <w:sz w:val="28"/>
          <w:szCs w:val="28"/>
        </w:rPr>
      </w:pPr>
      <w:r w:rsidDel="00000000" w:rsidR="00000000" w:rsidRPr="00000000">
        <w:rPr>
          <w:b w:val="1"/>
          <w:sz w:val="28"/>
          <w:szCs w:val="28"/>
          <w:rtl w:val="0"/>
        </w:rPr>
        <w:t xml:space="preserve">High cardinality:</w:t>
      </w:r>
      <w:r w:rsidDel="00000000" w:rsidR="00000000" w:rsidRPr="00000000">
        <w:rPr>
          <w:sz w:val="28"/>
          <w:szCs w:val="28"/>
          <w:rtl w:val="0"/>
        </w:rPr>
        <w:t xml:space="preserve"> ”Type_of_Loan”, “Occupation” </w:t>
      </w:r>
    </w:p>
    <w:p w:rsidR="00000000" w:rsidDel="00000000" w:rsidP="00000000" w:rsidRDefault="00000000" w:rsidRPr="00000000" w14:paraId="0000000C">
      <w:pPr>
        <w:numPr>
          <w:ilvl w:val="0"/>
          <w:numId w:val="1"/>
        </w:numPr>
        <w:spacing w:after="0" w:afterAutospacing="0" w:before="0" w:beforeAutospacing="0" w:lineRule="auto"/>
        <w:ind w:left="720" w:hanging="360"/>
        <w:rPr>
          <w:sz w:val="28"/>
          <w:szCs w:val="28"/>
        </w:rPr>
      </w:pPr>
      <w:r w:rsidDel="00000000" w:rsidR="00000000" w:rsidRPr="00000000">
        <w:rPr>
          <w:b w:val="1"/>
          <w:sz w:val="28"/>
          <w:szCs w:val="28"/>
          <w:rtl w:val="0"/>
        </w:rPr>
        <w:t xml:space="preserve">Proportional Distribution</w:t>
      </w:r>
      <w:r w:rsidDel="00000000" w:rsidR="00000000" w:rsidRPr="00000000">
        <w:rPr>
          <w:sz w:val="28"/>
          <w:szCs w:val="28"/>
          <w:rtl w:val="0"/>
        </w:rPr>
        <w:t xml:space="preserve"> – We analyzed the proportion of each unique value within the nominal and ordinal variables.</w:t>
      </w:r>
    </w:p>
    <w:p w:rsidR="00000000" w:rsidDel="00000000" w:rsidP="00000000" w:rsidRDefault="00000000" w:rsidRPr="00000000" w14:paraId="0000000D">
      <w:pPr>
        <w:numPr>
          <w:ilvl w:val="0"/>
          <w:numId w:val="1"/>
        </w:numPr>
        <w:spacing w:after="0" w:afterAutospacing="0" w:before="0" w:beforeAutospacing="0" w:lineRule="auto"/>
        <w:ind w:left="720" w:hanging="360"/>
        <w:rPr>
          <w:sz w:val="28"/>
          <w:szCs w:val="28"/>
        </w:rPr>
      </w:pPr>
      <w:r w:rsidDel="00000000" w:rsidR="00000000" w:rsidRPr="00000000">
        <w:rPr>
          <w:b w:val="1"/>
          <w:sz w:val="28"/>
          <w:szCs w:val="28"/>
          <w:rtl w:val="0"/>
        </w:rPr>
        <w:t xml:space="preserve">Duplicate Detection</w:t>
      </w:r>
      <w:r w:rsidDel="00000000" w:rsidR="00000000" w:rsidRPr="00000000">
        <w:rPr>
          <w:sz w:val="28"/>
          <w:szCs w:val="28"/>
          <w:rtl w:val="0"/>
        </w:rPr>
        <w:t xml:space="preserve"> – We checked for duplicate records to ensure data integrity. The result was 0 duplicates.</w:t>
      </w:r>
    </w:p>
    <w:p w:rsidR="00000000" w:rsidDel="00000000" w:rsidP="00000000" w:rsidRDefault="00000000" w:rsidRPr="00000000" w14:paraId="0000000E">
      <w:pPr>
        <w:numPr>
          <w:ilvl w:val="0"/>
          <w:numId w:val="1"/>
        </w:numPr>
        <w:spacing w:after="240" w:before="0" w:beforeAutospacing="0" w:lineRule="auto"/>
        <w:ind w:left="720" w:hanging="360"/>
        <w:rPr>
          <w:sz w:val="28"/>
          <w:szCs w:val="28"/>
        </w:rPr>
      </w:pPr>
      <w:r w:rsidDel="00000000" w:rsidR="00000000" w:rsidRPr="00000000">
        <w:rPr>
          <w:b w:val="1"/>
          <w:sz w:val="28"/>
          <w:szCs w:val="28"/>
          <w:rtl w:val="0"/>
        </w:rPr>
        <w:t xml:space="preserve">Histogram Analysis – </w:t>
      </w:r>
      <w:r w:rsidDel="00000000" w:rsidR="00000000" w:rsidRPr="00000000">
        <w:rPr>
          <w:sz w:val="28"/>
          <w:szCs w:val="28"/>
          <w:rtl w:val="0"/>
        </w:rPr>
        <w:t xml:space="preserve">To ensure we selected the best variables for our Traditional Credit Model, we plotted each of our ratio ratio variables in which each of the three Scorecard groups (bad, standard, good) was contrasted. This way, an analysis was made to determine the best possible predicting variables.</w:t>
      </w:r>
    </w:p>
    <w:p w:rsidR="00000000" w:rsidDel="00000000" w:rsidP="00000000" w:rsidRDefault="00000000" w:rsidRPr="00000000" w14:paraId="0000000F">
      <w:pPr>
        <w:spacing w:after="240" w:before="240" w:lineRule="auto"/>
        <w:rPr>
          <w:sz w:val="28"/>
          <w:szCs w:val="28"/>
        </w:rPr>
      </w:pPr>
      <w:r w:rsidDel="00000000" w:rsidR="00000000" w:rsidRPr="00000000">
        <w:rPr>
          <w:sz w:val="28"/>
          <w:szCs w:val="28"/>
        </w:rPr>
        <w:drawing>
          <wp:inline distB="114300" distT="114300" distL="114300" distR="114300">
            <wp:extent cx="4567238" cy="2920908"/>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567238" cy="292090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240" w:before="240" w:lineRule="auto"/>
        <w:rPr>
          <w:sz w:val="28"/>
          <w:szCs w:val="28"/>
        </w:rPr>
      </w:pPr>
      <w:r w:rsidDel="00000000" w:rsidR="00000000" w:rsidRPr="00000000">
        <w:rPr>
          <w:sz w:val="28"/>
          <w:szCs w:val="28"/>
        </w:rPr>
        <w:drawing>
          <wp:inline distB="114300" distT="114300" distL="114300" distR="114300">
            <wp:extent cx="4435556" cy="2917741"/>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435556" cy="2917741"/>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before="240" w:lineRule="auto"/>
        <w:rPr>
          <w:sz w:val="28"/>
          <w:szCs w:val="28"/>
        </w:rPr>
      </w:pPr>
      <w:r w:rsidDel="00000000" w:rsidR="00000000" w:rsidRPr="00000000">
        <w:rPr>
          <w:sz w:val="28"/>
          <w:szCs w:val="28"/>
        </w:rPr>
        <w:drawing>
          <wp:inline distB="114300" distT="114300" distL="114300" distR="114300">
            <wp:extent cx="4310063" cy="2804493"/>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310063" cy="280449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40" w:before="240" w:lineRule="auto"/>
        <w:rPr>
          <w:sz w:val="28"/>
          <w:szCs w:val="28"/>
        </w:rPr>
      </w:pPr>
      <w:r w:rsidDel="00000000" w:rsidR="00000000" w:rsidRPr="00000000">
        <w:rPr>
          <w:rtl w:val="0"/>
        </w:rPr>
      </w:r>
    </w:p>
    <w:p w:rsidR="00000000" w:rsidDel="00000000" w:rsidP="00000000" w:rsidRDefault="00000000" w:rsidRPr="00000000" w14:paraId="00000013">
      <w:pPr>
        <w:spacing w:after="240" w:before="240" w:lineRule="auto"/>
        <w:rPr>
          <w:sz w:val="28"/>
          <w:szCs w:val="28"/>
        </w:rPr>
      </w:pPr>
      <w:r w:rsidDel="00000000" w:rsidR="00000000" w:rsidRPr="00000000">
        <w:rPr>
          <w:sz w:val="28"/>
          <w:szCs w:val="28"/>
        </w:rPr>
        <w:drawing>
          <wp:inline distB="114300" distT="114300" distL="114300" distR="114300">
            <wp:extent cx="4329113" cy="2840531"/>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329113" cy="2840531"/>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