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Documento di Analisi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del software Rubrica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Diagramma dei casi d’uso: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61560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1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Diagramma delle classi: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412801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28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dei requisiti: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365992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5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piano di test d’integrazione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00000" cy="5238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3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