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Machine Learning for Cholangiocarcinoma Biomarker Identification</w:t>
      </w:r>
    </w:p>
    <w:p>
      <w:pPr>
        <w:jc w:val="center"/>
      </w:pPr>
      <w:r>
        <w:t>Leakage-controlled patient-level validation on GSE76297 with external validation on GSE26566</w:t>
      </w:r>
    </w:p>
    <w:p>
      <w:pPr>
        <w:pStyle w:val="Heading1"/>
      </w:pPr>
      <w:r>
        <w:t>Executive Summary</w:t>
      </w:r>
    </w:p>
    <w:p>
      <w:r>
        <w:t>This updated pipeline evaluates CCA tumor versus non-tumor classification using GSE76297 as the primary paired-patient cohort. The main methodological correction is that supervised DEG prefiltering and feature selection are repeated inside each training fold during cross-validation. Validation folds are therefore not used to choose candidate probes.</w:t>
      </w:r>
    </w:p>
    <w:p>
      <w:r>
        <w:t>The primary cohort contains 183 samples from 93 patients (91 tumor, 92 non-tumor). The final full-cohort DEG analysis identified 2944 significant probes for downstream biological interpretation.</w:t>
      </w:r>
    </w:p>
    <w:p>
      <w:pPr>
        <w:pStyle w:val="Heading2"/>
      </w:pPr>
      <w:r>
        <w:t>Figure 1: Preprocessing Quality Control</w:t>
      </w:r>
    </w:p>
    <w:p>
      <w:r>
        <w:drawing>
          <wp:inline xmlns:a="http://schemas.openxmlformats.org/drawingml/2006/main" xmlns:pic="http://schemas.openxmlformats.org/drawingml/2006/picture">
            <wp:extent cx="5852160" cy="2370223"/>
            <wp:docPr id="1" name="Picture 1"/>
            <wp:cNvGraphicFramePr>
              <a:graphicFrameLocks noChangeAspect="1"/>
            </wp:cNvGraphicFramePr>
            <a:graphic>
              <a:graphicData uri="http://schemas.openxmlformats.org/drawingml/2006/picture">
                <pic:pic>
                  <pic:nvPicPr>
                    <pic:cNvPr id="0" name="fig1_preprocessing_qc.png"/>
                    <pic:cNvPicPr/>
                  </pic:nvPicPr>
                  <pic:blipFill>
                    <a:blip r:embed="rId9"/>
                    <a:stretch>
                      <a:fillRect/>
                    </a:stretch>
                  </pic:blipFill>
                  <pic:spPr>
                    <a:xfrm>
                      <a:off x="0" y="0"/>
                      <a:ext cx="5852160" cy="2370223"/>
                    </a:xfrm>
                    <a:prstGeom prst="rect"/>
                  </pic:spPr>
                </pic:pic>
              </a:graphicData>
            </a:graphic>
          </wp:inline>
        </w:drawing>
      </w:r>
    </w:p>
    <w:p>
      <w:r>
        <w:t>Figure 1 evaluates whether the processed expression matrix is suitable for downstream classification. The left panel summarizes the normalized expression distribution by class, while the right panel shows PCA projection of all samples after preprocessing. This figure is important because model performance can be misleading if the input data are poorly normalized, dominated by technical artifacts, or contain obvious sample-level irregularities.</w:t>
      </w:r>
    </w:p>
    <w:p>
      <w:r>
        <w:t>The PCA visualization also gives an early biological sanity check. If tumor and non-tumor samples show separation in the reduced-dimensional space, it suggests that the expression matrix contains broad class-related transcriptomic differences before any supervised classifier is trained. This does not prove classification performance by itself, but it supports the expectation that tumor-versus-non-tumor status is learnable from the expression data. Because preprocessing includes log-scale checking, IQR filtering, and quantile normalization, the downstream classifiers operate on a cleaner and more comparable feature matrix.</w:t>
      </w:r>
    </w:p>
    <w:p>
      <w:pPr>
        <w:pStyle w:val="Heading1"/>
      </w:pPr>
      <w:r>
        <w:t>Corrected Validation Design</w:t>
      </w:r>
    </w:p>
    <w:p>
      <w:pPr>
        <w:pStyle w:val="ListBullet"/>
      </w:pPr>
      <w:r>
        <w:t>Patient-level grouping keeps paired tumor/non-tumor samples from the same patient in the same fold.</w:t>
      </w:r>
    </w:p>
    <w:p>
      <w:pPr>
        <w:pStyle w:val="ListBullet"/>
      </w:pPr>
      <w:r>
        <w:t>Within each outer CV fold, DEG prefiltering is fit only on the training samples.</w:t>
      </w:r>
    </w:p>
    <w:p>
      <w:pPr>
        <w:pStyle w:val="ListBullet"/>
      </w:pPr>
      <w:r>
        <w:t>LASSO, SVM-RFE, and Random Forest feature selection are fit only after that training-only prefilter.</w:t>
      </w:r>
    </w:p>
    <w:p>
      <w:pPr>
        <w:pStyle w:val="ListBullet"/>
      </w:pPr>
      <w:r>
        <w:t>Standard scaling and SMOTE are fit only on training folds.</w:t>
      </w:r>
    </w:p>
    <w:p>
      <w:pPr>
        <w:pStyle w:val="ListBullet"/>
      </w:pPr>
      <w:r>
        <w:t>Final biomarker ranking is trained on the full primary cohort for discovery, not for reporting CV performance.</w:t>
      </w:r>
    </w:p>
    <w:p>
      <w:pPr>
        <w:pStyle w:val="ListBullet"/>
      </w:pPr>
      <w:r>
        <w:t>GSE26566 is retained as an independent external validation cohort across platforms.</w:t>
      </w:r>
    </w:p>
    <w:p>
      <w:pPr>
        <w:pStyle w:val="Heading1"/>
      </w:pPr>
      <w:r>
        <w:t>Primary Cross-Validation Results</w:t>
      </w:r>
    </w:p>
    <w:p>
      <w:r>
        <w:t>Best corrected internal combination: SVM-RFE + Naive Bayes (AUC 1.000 +/- 0.000, Accuracy 0.995, F1 0.995, MCC 0.989).</w:t>
      </w:r>
    </w:p>
    <w:p>
      <w:r>
        <w:t>The comparative evaluation emphasizes AUC-ROC because it measures how well the model separates tumor from non-tumor samples across decision thresholds. Accuracy, macro-F1, sensitivity, and MCC are reported as supporting metrics so that the result is not judged from a single score only.</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Pipeline</w:t>
            </w:r>
          </w:p>
        </w:tc>
        <w:tc>
          <w:tcPr>
            <w:tcW w:type="dxa" w:w="1440"/>
          </w:tcPr>
          <w:p>
            <w:r>
              <w:t>Model</w:t>
            </w:r>
          </w:p>
        </w:tc>
        <w:tc>
          <w:tcPr>
            <w:tcW w:type="dxa" w:w="1440"/>
          </w:tcPr>
          <w:p>
            <w:r>
              <w:t>AUC</w:t>
            </w:r>
          </w:p>
        </w:tc>
        <w:tc>
          <w:tcPr>
            <w:tcW w:type="dxa" w:w="1440"/>
          </w:tcPr>
          <w:p>
            <w:r>
              <w:t>Accuracy</w:t>
            </w:r>
          </w:p>
        </w:tc>
        <w:tc>
          <w:tcPr>
            <w:tcW w:type="dxa" w:w="1440"/>
          </w:tcPr>
          <w:p>
            <w:r>
              <w:t>F1</w:t>
            </w:r>
          </w:p>
        </w:tc>
        <w:tc>
          <w:tcPr>
            <w:tcW w:type="dxa" w:w="1440"/>
          </w:tcPr>
          <w:p>
            <w:r>
              <w:t>Sensitivity</w:t>
            </w:r>
          </w:p>
        </w:tc>
        <w:tc>
          <w:tcPr>
            <w:tcW w:type="dxa" w:w="1440"/>
          </w:tcPr>
          <w:p>
            <w:r>
              <w:t>MCC</w:t>
            </w:r>
          </w:p>
        </w:tc>
      </w:tr>
      <w:tr>
        <w:tc>
          <w:tcPr>
            <w:tcW w:type="dxa" w:w="1440"/>
          </w:tcPr>
          <w:p>
            <w:r>
              <w:t>SVM-RFE</w:t>
            </w:r>
          </w:p>
        </w:tc>
        <w:tc>
          <w:tcPr>
            <w:tcW w:type="dxa" w:w="1440"/>
          </w:tcPr>
          <w:p>
            <w:r>
              <w:t>Naive Bayes</w:t>
            </w:r>
          </w:p>
        </w:tc>
        <w:tc>
          <w:tcPr>
            <w:tcW w:type="dxa" w:w="1440"/>
          </w:tcPr>
          <w:p>
            <w:r>
              <w:t>1.000</w:t>
            </w:r>
          </w:p>
        </w:tc>
        <w:tc>
          <w:tcPr>
            <w:tcW w:type="dxa" w:w="1440"/>
          </w:tcPr>
          <w:p>
            <w:r>
              <w:t>0.995</w:t>
            </w:r>
          </w:p>
        </w:tc>
        <w:tc>
          <w:tcPr>
            <w:tcW w:type="dxa" w:w="1440"/>
          </w:tcPr>
          <w:p>
            <w:r>
              <w:t>0.995</w:t>
            </w:r>
          </w:p>
        </w:tc>
        <w:tc>
          <w:tcPr>
            <w:tcW w:type="dxa" w:w="1440"/>
          </w:tcPr>
          <w:p>
            <w:r>
              <w:t>0.989</w:t>
            </w:r>
          </w:p>
        </w:tc>
        <w:tc>
          <w:tcPr>
            <w:tcW w:type="dxa" w:w="1440"/>
          </w:tcPr>
          <w:p>
            <w:r>
              <w:t>0.989</w:t>
            </w:r>
          </w:p>
        </w:tc>
      </w:tr>
      <w:tr>
        <w:tc>
          <w:tcPr>
            <w:tcW w:type="dxa" w:w="1440"/>
          </w:tcPr>
          <w:p>
            <w:r>
              <w:t>SVM-RFE</w:t>
            </w:r>
          </w:p>
        </w:tc>
        <w:tc>
          <w:tcPr>
            <w:tcW w:type="dxa" w:w="1440"/>
          </w:tcPr>
          <w:p>
            <w:r>
              <w:t>Logistic Regression</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SVM-RFE</w:t>
            </w:r>
          </w:p>
        </w:tc>
        <w:tc>
          <w:tcPr>
            <w:tcW w:type="dxa" w:w="1440"/>
          </w:tcPr>
          <w:p>
            <w:r>
              <w:t>SVM</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SVM-RFE</w:t>
            </w:r>
          </w:p>
        </w:tc>
        <w:tc>
          <w:tcPr>
            <w:tcW w:type="dxa" w:w="1440"/>
          </w:tcPr>
          <w:p>
            <w:r>
              <w:t>Random Forest</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RF</w:t>
            </w:r>
          </w:p>
        </w:tc>
        <w:tc>
          <w:tcPr>
            <w:tcW w:type="dxa" w:w="1440"/>
          </w:tcPr>
          <w:p>
            <w:r>
              <w:t>Logistic Regression</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RF</w:t>
            </w:r>
          </w:p>
        </w:tc>
        <w:tc>
          <w:tcPr>
            <w:tcW w:type="dxa" w:w="1440"/>
          </w:tcPr>
          <w:p>
            <w:r>
              <w:t>SVM</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RF</w:t>
            </w:r>
          </w:p>
        </w:tc>
        <w:tc>
          <w:tcPr>
            <w:tcW w:type="dxa" w:w="1440"/>
          </w:tcPr>
          <w:p>
            <w:r>
              <w:t>Random Forest</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RF</w:t>
            </w:r>
          </w:p>
        </w:tc>
        <w:tc>
          <w:tcPr>
            <w:tcW w:type="dxa" w:w="1440"/>
          </w:tcPr>
          <w:p>
            <w:r>
              <w:t>Naive Bayes</w:t>
            </w:r>
          </w:p>
        </w:tc>
        <w:tc>
          <w:tcPr>
            <w:tcW w:type="dxa" w:w="1440"/>
          </w:tcPr>
          <w:p>
            <w:r>
              <w:t>1.000</w:t>
            </w:r>
          </w:p>
        </w:tc>
        <w:tc>
          <w:tcPr>
            <w:tcW w:type="dxa" w:w="1440"/>
          </w:tcPr>
          <w:p>
            <w:r>
              <w:t>0.989</w:t>
            </w:r>
          </w:p>
        </w:tc>
        <w:tc>
          <w:tcPr>
            <w:tcW w:type="dxa" w:w="1440"/>
          </w:tcPr>
          <w:p>
            <w:r>
              <w:t>0.989</w:t>
            </w:r>
          </w:p>
        </w:tc>
        <w:tc>
          <w:tcPr>
            <w:tcW w:type="dxa" w:w="1440"/>
          </w:tcPr>
          <w:p>
            <w:r>
              <w:t>0.989</w:t>
            </w:r>
          </w:p>
        </w:tc>
        <w:tc>
          <w:tcPr>
            <w:tcW w:type="dxa" w:w="1440"/>
          </w:tcPr>
          <w:p>
            <w:r>
              <w:t>0.979</w:t>
            </w:r>
          </w:p>
        </w:tc>
      </w:tr>
      <w:tr>
        <w:tc>
          <w:tcPr>
            <w:tcW w:type="dxa" w:w="1440"/>
          </w:tcPr>
          <w:p>
            <w:r>
              <w:t>LASSO</w:t>
            </w:r>
          </w:p>
        </w:tc>
        <w:tc>
          <w:tcPr>
            <w:tcW w:type="dxa" w:w="1440"/>
          </w:tcPr>
          <w:p>
            <w:r>
              <w:t>SVM</w:t>
            </w:r>
          </w:p>
        </w:tc>
        <w:tc>
          <w:tcPr>
            <w:tcW w:type="dxa" w:w="1440"/>
          </w:tcPr>
          <w:p>
            <w:r>
              <w:t>1.000</w:t>
            </w:r>
          </w:p>
        </w:tc>
        <w:tc>
          <w:tcPr>
            <w:tcW w:type="dxa" w:w="1440"/>
          </w:tcPr>
          <w:p>
            <w:r>
              <w:t>0.984</w:t>
            </w:r>
          </w:p>
        </w:tc>
        <w:tc>
          <w:tcPr>
            <w:tcW w:type="dxa" w:w="1440"/>
          </w:tcPr>
          <w:p>
            <w:r>
              <w:t>0.984</w:t>
            </w:r>
          </w:p>
        </w:tc>
        <w:tc>
          <w:tcPr>
            <w:tcW w:type="dxa" w:w="1440"/>
          </w:tcPr>
          <w:p>
            <w:r>
              <w:t>0.978</w:t>
            </w:r>
          </w:p>
        </w:tc>
        <w:tc>
          <w:tcPr>
            <w:tcW w:type="dxa" w:w="1440"/>
          </w:tcPr>
          <w:p>
            <w:r>
              <w:t>0.968</w:t>
            </w:r>
          </w:p>
        </w:tc>
      </w:tr>
      <w:tr>
        <w:tc>
          <w:tcPr>
            <w:tcW w:type="dxa" w:w="1440"/>
          </w:tcPr>
          <w:p>
            <w:r>
              <w:t>LASSO</w:t>
            </w:r>
          </w:p>
        </w:tc>
        <w:tc>
          <w:tcPr>
            <w:tcW w:type="dxa" w:w="1440"/>
          </w:tcPr>
          <w:p>
            <w:r>
              <w:t>Naive Bayes</w:t>
            </w:r>
          </w:p>
        </w:tc>
        <w:tc>
          <w:tcPr>
            <w:tcW w:type="dxa" w:w="1440"/>
          </w:tcPr>
          <w:p>
            <w:r>
              <w:t>0.999</w:t>
            </w:r>
          </w:p>
        </w:tc>
        <w:tc>
          <w:tcPr>
            <w:tcW w:type="dxa" w:w="1440"/>
          </w:tcPr>
          <w:p>
            <w:r>
              <w:t>0.989</w:t>
            </w:r>
          </w:p>
        </w:tc>
        <w:tc>
          <w:tcPr>
            <w:tcW w:type="dxa" w:w="1440"/>
          </w:tcPr>
          <w:p>
            <w:r>
              <w:t>0.989</w:t>
            </w:r>
          </w:p>
        </w:tc>
        <w:tc>
          <w:tcPr>
            <w:tcW w:type="dxa" w:w="1440"/>
          </w:tcPr>
          <w:p>
            <w:r>
              <w:t>0.978</w:t>
            </w:r>
          </w:p>
        </w:tc>
        <w:tc>
          <w:tcPr>
            <w:tcW w:type="dxa" w:w="1440"/>
          </w:tcPr>
          <w:p>
            <w:r>
              <w:t>0.979</w:t>
            </w:r>
          </w:p>
        </w:tc>
      </w:tr>
    </w:tbl>
    <w:p>
      <w:pPr>
        <w:pStyle w:val="Heading2"/>
      </w:pPr>
      <w:r>
        <w:t>Figure 2: Comparative Model Evaluation</w:t>
      </w:r>
    </w:p>
    <w:p>
      <w:r>
        <w:drawing>
          <wp:inline xmlns:a="http://schemas.openxmlformats.org/drawingml/2006/main" xmlns:pic="http://schemas.openxmlformats.org/drawingml/2006/picture">
            <wp:extent cx="5852160" cy="2918359"/>
            <wp:docPr id="2" name="Picture 2"/>
            <wp:cNvGraphicFramePr>
              <a:graphicFrameLocks noChangeAspect="1"/>
            </wp:cNvGraphicFramePr>
            <a:graphic>
              <a:graphicData uri="http://schemas.openxmlformats.org/drawingml/2006/picture">
                <pic:pic>
                  <pic:nvPicPr>
                    <pic:cNvPr id="0" name="fig2_cv_auc_heatmap.png"/>
                    <pic:cNvPicPr/>
                  </pic:nvPicPr>
                  <pic:blipFill>
                    <a:blip r:embed="rId10"/>
                    <a:stretch>
                      <a:fillRect/>
                    </a:stretch>
                  </pic:blipFill>
                  <pic:spPr>
                    <a:xfrm>
                      <a:off x="0" y="0"/>
                      <a:ext cx="5852160" cy="2918359"/>
                    </a:xfrm>
                    <a:prstGeom prst="rect"/>
                  </pic:spPr>
                </pic:pic>
              </a:graphicData>
            </a:graphic>
          </wp:inline>
        </w:drawing>
      </w:r>
    </w:p>
    <w:p>
      <w:r>
        <w:t>Figure 2 summarizes the primary model-comparison experiment. Each cell represents the mean patient-level cross-validation AUC for one combination of feature-selection pipeline and classifier. This figure is important because it shows that the result is not driven by a single arbitrary model: multiple classifiers and feature-selection strategies produce similarly high discrimination, especially for SVM-RFE and Random Forest feature-selection pipelines. In practical terms, this suggests that the tumor-versus-non-tumor signal is strong and consistently recoverable from the expression matrix.</w:t>
      </w:r>
    </w:p>
    <w:p>
      <w:r>
        <w:t>The heatmap should not be interpreted as proof that every model is perfect. Instead, it supports the comparative conclusion that several pipelines are capable of separating the two classes under the corrected validation protocol. The key methodological detail is that DEG prefiltering, feature selection, scaling, and SMOTE are all performed inside the training fold. Therefore, the validation fold is used only for scoring and does not influence which probes are selected.</w:t>
      </w:r>
    </w:p>
    <w:p>
      <w:pPr>
        <w:pStyle w:val="Heading1"/>
      </w:pPr>
      <w:r>
        <w:t>External Validation</w:t>
      </w:r>
    </w:p>
    <w:p>
      <w:r>
        <w:t>The external validation step trains on GSE76297 gene-level expression and tests on GSE26566 after mapping both platforms to common gene symbols.</w:t>
      </w:r>
    </w:p>
    <w:p>
      <w:r>
        <w:t>Best external model: Logistic Regression (AUC 0.927, Accuracy 0.811, F1 0.810, MCC 0.666).</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AUC</w:t>
            </w:r>
          </w:p>
        </w:tc>
        <w:tc>
          <w:tcPr>
            <w:tcW w:type="dxa" w:w="2016"/>
          </w:tcPr>
          <w:p>
            <w:r>
              <w:t>Accuracy</w:t>
            </w:r>
          </w:p>
        </w:tc>
        <w:tc>
          <w:tcPr>
            <w:tcW w:type="dxa" w:w="2016"/>
          </w:tcPr>
          <w:p>
            <w:r>
              <w:t>F1</w:t>
            </w:r>
          </w:p>
        </w:tc>
        <w:tc>
          <w:tcPr>
            <w:tcW w:type="dxa" w:w="2016"/>
          </w:tcPr>
          <w:p>
            <w:r>
              <w:t>MCC</w:t>
            </w:r>
          </w:p>
        </w:tc>
      </w:tr>
      <w:tr>
        <w:tc>
          <w:tcPr>
            <w:tcW w:type="dxa" w:w="2016"/>
          </w:tcPr>
          <w:p>
            <w:r>
              <w:t>Logistic Regression</w:t>
            </w:r>
          </w:p>
        </w:tc>
        <w:tc>
          <w:tcPr>
            <w:tcW w:type="dxa" w:w="2016"/>
          </w:tcPr>
          <w:p>
            <w:r>
              <w:t>0.927</w:t>
            </w:r>
          </w:p>
        </w:tc>
        <w:tc>
          <w:tcPr>
            <w:tcW w:type="dxa" w:w="2016"/>
          </w:tcPr>
          <w:p>
            <w:r>
              <w:t>0.811</w:t>
            </w:r>
          </w:p>
        </w:tc>
        <w:tc>
          <w:tcPr>
            <w:tcW w:type="dxa" w:w="2016"/>
          </w:tcPr>
          <w:p>
            <w:r>
              <w:t>0.810</w:t>
            </w:r>
          </w:p>
        </w:tc>
        <w:tc>
          <w:tcPr>
            <w:tcW w:type="dxa" w:w="2016"/>
          </w:tcPr>
          <w:p>
            <w:r>
              <w:t>0.666</w:t>
            </w:r>
          </w:p>
        </w:tc>
      </w:tr>
      <w:tr>
        <w:tc>
          <w:tcPr>
            <w:tcW w:type="dxa" w:w="2016"/>
          </w:tcPr>
          <w:p>
            <w:r>
              <w:t>Naive Bayes</w:t>
            </w:r>
          </w:p>
        </w:tc>
        <w:tc>
          <w:tcPr>
            <w:tcW w:type="dxa" w:w="2016"/>
          </w:tcPr>
          <w:p>
            <w:r>
              <w:t>0.920</w:t>
            </w:r>
          </w:p>
        </w:tc>
        <w:tc>
          <w:tcPr>
            <w:tcW w:type="dxa" w:w="2016"/>
          </w:tcPr>
          <w:p>
            <w:r>
              <w:t>0.799</w:t>
            </w:r>
          </w:p>
        </w:tc>
        <w:tc>
          <w:tcPr>
            <w:tcW w:type="dxa" w:w="2016"/>
          </w:tcPr>
          <w:p>
            <w:r>
              <w:t>0.798</w:t>
            </w:r>
          </w:p>
        </w:tc>
        <w:tc>
          <w:tcPr>
            <w:tcW w:type="dxa" w:w="2016"/>
          </w:tcPr>
          <w:p>
            <w:r>
              <w:t>0.649</w:t>
            </w:r>
          </w:p>
        </w:tc>
      </w:tr>
      <w:tr>
        <w:tc>
          <w:tcPr>
            <w:tcW w:type="dxa" w:w="2016"/>
          </w:tcPr>
          <w:p>
            <w:r>
              <w:t>LightGBM</w:t>
            </w:r>
          </w:p>
        </w:tc>
        <w:tc>
          <w:tcPr>
            <w:tcW w:type="dxa" w:w="2016"/>
          </w:tcPr>
          <w:p>
            <w:r>
              <w:t>0.917</w:t>
            </w:r>
          </w:p>
        </w:tc>
        <w:tc>
          <w:tcPr>
            <w:tcW w:type="dxa" w:w="2016"/>
          </w:tcPr>
          <w:p>
            <w:r>
              <w:t>0.799</w:t>
            </w:r>
          </w:p>
        </w:tc>
        <w:tc>
          <w:tcPr>
            <w:tcW w:type="dxa" w:w="2016"/>
          </w:tcPr>
          <w:p>
            <w:r>
              <w:t>0.798</w:t>
            </w:r>
          </w:p>
        </w:tc>
        <w:tc>
          <w:tcPr>
            <w:tcW w:type="dxa" w:w="2016"/>
          </w:tcPr>
          <w:p>
            <w:r>
              <w:t>0.649</w:t>
            </w:r>
          </w:p>
        </w:tc>
      </w:tr>
      <w:tr>
        <w:tc>
          <w:tcPr>
            <w:tcW w:type="dxa" w:w="2016"/>
          </w:tcPr>
          <w:p>
            <w:r>
              <w:t>Random Forest</w:t>
            </w:r>
          </w:p>
        </w:tc>
        <w:tc>
          <w:tcPr>
            <w:tcW w:type="dxa" w:w="2016"/>
          </w:tcPr>
          <w:p>
            <w:r>
              <w:t>0.912</w:t>
            </w:r>
          </w:p>
        </w:tc>
        <w:tc>
          <w:tcPr>
            <w:tcW w:type="dxa" w:w="2016"/>
          </w:tcPr>
          <w:p>
            <w:r>
              <w:t>0.805</w:t>
            </w:r>
          </w:p>
        </w:tc>
        <w:tc>
          <w:tcPr>
            <w:tcW w:type="dxa" w:w="2016"/>
          </w:tcPr>
          <w:p>
            <w:r>
              <w:t>0.804</w:t>
            </w:r>
          </w:p>
        </w:tc>
        <w:tc>
          <w:tcPr>
            <w:tcW w:type="dxa" w:w="2016"/>
          </w:tcPr>
          <w:p>
            <w:r>
              <w:t>0.657</w:t>
            </w:r>
          </w:p>
        </w:tc>
      </w:tr>
      <w:tr>
        <w:tc>
          <w:tcPr>
            <w:tcW w:type="dxa" w:w="2016"/>
          </w:tcPr>
          <w:p>
            <w:r>
              <w:t>XGBoost</w:t>
            </w:r>
          </w:p>
        </w:tc>
        <w:tc>
          <w:tcPr>
            <w:tcW w:type="dxa" w:w="2016"/>
          </w:tcPr>
          <w:p>
            <w:r>
              <w:t>0.811</w:t>
            </w:r>
          </w:p>
        </w:tc>
        <w:tc>
          <w:tcPr>
            <w:tcW w:type="dxa" w:w="2016"/>
          </w:tcPr>
          <w:p>
            <w:r>
              <w:t>0.775</w:t>
            </w:r>
          </w:p>
        </w:tc>
        <w:tc>
          <w:tcPr>
            <w:tcW w:type="dxa" w:w="2016"/>
          </w:tcPr>
          <w:p>
            <w:r>
              <w:t>0.775</w:t>
            </w:r>
          </w:p>
        </w:tc>
        <w:tc>
          <w:tcPr>
            <w:tcW w:type="dxa" w:w="2016"/>
          </w:tcPr>
          <w:p>
            <w:r>
              <w:t>0.615</w:t>
            </w:r>
          </w:p>
        </w:tc>
      </w:tr>
      <w:tr>
        <w:tc>
          <w:tcPr>
            <w:tcW w:type="dxa" w:w="2016"/>
          </w:tcPr>
          <w:p>
            <w:r>
              <w:t>SVM</w:t>
            </w:r>
          </w:p>
        </w:tc>
        <w:tc>
          <w:tcPr>
            <w:tcW w:type="dxa" w:w="2016"/>
          </w:tcPr>
          <w:p>
            <w:r>
              <w:t>0.741</w:t>
            </w:r>
          </w:p>
        </w:tc>
        <w:tc>
          <w:tcPr>
            <w:tcW w:type="dxa" w:w="2016"/>
          </w:tcPr>
          <w:p>
            <w:r>
              <w:t>0.811</w:t>
            </w:r>
          </w:p>
        </w:tc>
        <w:tc>
          <w:tcPr>
            <w:tcW w:type="dxa" w:w="2016"/>
          </w:tcPr>
          <w:p>
            <w:r>
              <w:t>0.810</w:t>
            </w:r>
          </w:p>
        </w:tc>
        <w:tc>
          <w:tcPr>
            <w:tcW w:type="dxa" w:w="2016"/>
          </w:tcPr>
          <w:p>
            <w:r>
              <w:t>0.666</w:t>
            </w:r>
          </w:p>
        </w:tc>
      </w:tr>
    </w:tbl>
    <w:p>
      <w:pPr>
        <w:pStyle w:val="Heading2"/>
      </w:pPr>
      <w:r>
        <w:t>Figure 3: External Validation Performance</w:t>
      </w:r>
    </w:p>
    <w:p>
      <w:r>
        <w:drawing>
          <wp:inline xmlns:a="http://schemas.openxmlformats.org/drawingml/2006/main" xmlns:pic="http://schemas.openxmlformats.org/drawingml/2006/picture">
            <wp:extent cx="5852160" cy="3283996"/>
            <wp:docPr id="3" name="Picture 3"/>
            <wp:cNvGraphicFramePr>
              <a:graphicFrameLocks noChangeAspect="1"/>
            </wp:cNvGraphicFramePr>
            <a:graphic>
              <a:graphicData uri="http://schemas.openxmlformats.org/drawingml/2006/picture">
                <pic:pic>
                  <pic:nvPicPr>
                    <pic:cNvPr id="0" name="fig3_external_validation.png"/>
                    <pic:cNvPicPr/>
                  </pic:nvPicPr>
                  <pic:blipFill>
                    <a:blip r:embed="rId11"/>
                    <a:stretch>
                      <a:fillRect/>
                    </a:stretch>
                  </pic:blipFill>
                  <pic:spPr>
                    <a:xfrm>
                      <a:off x="0" y="0"/>
                      <a:ext cx="5852160" cy="3283996"/>
                    </a:xfrm>
                    <a:prstGeom prst="rect"/>
                  </pic:spPr>
                </pic:pic>
              </a:graphicData>
            </a:graphic>
          </wp:inline>
        </w:drawing>
      </w:r>
    </w:p>
    <w:p>
      <w:r>
        <w:t>Figure 3 shows the external validation AUC for each classifier when the model is trained on GSE76297 and tested on GSE26566. This is one of the most important figures because it evaluates generalization across an independent cohort and a different microarray platform. Internal cross-validation can show how well the model performs within the primary dataset, but external validation tests whether the learned signal remains useful when sample composition, laboratory conditions, and platform-specific probe design differ.</w:t>
      </w:r>
    </w:p>
    <w:p>
      <w:r>
        <w:t>The external AUC values are lower than the internal cross-validation AUC values, which is expected and methodologically healthy. A small-to-moderate performance drop across cohorts usually indicates that the external test is more difficult, not necessarily that the model failed. In this project, Logistic Regression achieves the strongest external validation performance, with an AUC around 0.927. This supports the claim that the model captures a biologically meaningful CCA expression signal rather than merely memorizing the primary dataset. The external validation result is therefore the main argument for real-world robustness.</w:t>
      </w:r>
    </w:p>
    <w:p>
      <w:pPr>
        <w:pStyle w:val="Heading1"/>
      </w:pPr>
      <w:r>
        <w:t>Candidate Biomarkers</w:t>
      </w:r>
    </w:p>
    <w:p>
      <w:r>
        <w:t>Candidate biomarkers are ranked from the final full-cohort SVM-RFE + Logistic Regression model. These rankings are intended for biological interpretation and follow-up validation.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Rank</w:t>
            </w:r>
          </w:p>
        </w:tc>
        <w:tc>
          <w:tcPr>
            <w:tcW w:type="dxa" w:w="2520"/>
          </w:tcPr>
          <w:p>
            <w:r>
              <w:t>Probe ID</w:t>
            </w:r>
          </w:p>
        </w:tc>
        <w:tc>
          <w:tcPr>
            <w:tcW w:type="dxa" w:w="2520"/>
          </w:tcPr>
          <w:p>
            <w:r>
              <w:t>Gene Symbol</w:t>
            </w:r>
          </w:p>
        </w:tc>
        <w:tc>
          <w:tcPr>
            <w:tcW w:type="dxa" w:w="2520"/>
          </w:tcPr>
          <w:p>
            <w:r>
              <w:t>Direction</w:t>
            </w:r>
          </w:p>
        </w:tc>
      </w:tr>
      <w:tr>
        <w:tc>
          <w:tcPr>
            <w:tcW w:type="dxa" w:w="2520"/>
          </w:tcPr>
          <w:p>
            <w:r>
              <w:t>1</w:t>
            </w:r>
          </w:p>
        </w:tc>
        <w:tc>
          <w:tcPr>
            <w:tcW w:type="dxa" w:w="2520"/>
          </w:tcPr>
          <w:p>
            <w:r>
              <w:t>TC13000640.hg.1</w:t>
            </w:r>
          </w:p>
        </w:tc>
        <w:tc>
          <w:tcPr>
            <w:tcW w:type="dxa" w:w="2520"/>
          </w:tcPr>
          <w:p>
            <w:r>
              <w:t>ZC3H13</w:t>
            </w:r>
          </w:p>
        </w:tc>
        <w:tc>
          <w:tcPr>
            <w:tcW w:type="dxa" w:w="2520"/>
          </w:tcPr>
          <w:p>
            <w:r>
              <w:t>Down in Tumor</w:t>
            </w:r>
          </w:p>
        </w:tc>
      </w:tr>
      <w:tr>
        <w:tc>
          <w:tcPr>
            <w:tcW w:type="dxa" w:w="2520"/>
          </w:tcPr>
          <w:p>
            <w:r>
              <w:t>2</w:t>
            </w:r>
          </w:p>
        </w:tc>
        <w:tc>
          <w:tcPr>
            <w:tcW w:type="dxa" w:w="2520"/>
          </w:tcPr>
          <w:p>
            <w:r>
              <w:t>TC19001118.hg.1</w:t>
            </w:r>
          </w:p>
        </w:tc>
        <w:tc>
          <w:tcPr>
            <w:tcW w:type="dxa" w:w="2520"/>
          </w:tcPr>
          <w:p>
            <w:r>
              <w:t>CD209</w:t>
            </w:r>
          </w:p>
        </w:tc>
        <w:tc>
          <w:tcPr>
            <w:tcW w:type="dxa" w:w="2520"/>
          </w:tcPr>
          <w:p>
            <w:r>
              <w:t>Down in Tumor</w:t>
            </w:r>
          </w:p>
        </w:tc>
      </w:tr>
      <w:tr>
        <w:tc>
          <w:tcPr>
            <w:tcW w:type="dxa" w:w="2520"/>
          </w:tcPr>
          <w:p>
            <w:r>
              <w:t>3</w:t>
            </w:r>
          </w:p>
        </w:tc>
        <w:tc>
          <w:tcPr>
            <w:tcW w:type="dxa" w:w="2520"/>
          </w:tcPr>
          <w:p>
            <w:r>
              <w:t>TC19001958.hg.1</w:t>
            </w:r>
          </w:p>
        </w:tc>
        <w:tc>
          <w:tcPr>
            <w:tcW w:type="dxa" w:w="2520"/>
          </w:tcPr>
          <w:p>
            <w:r>
              <w:t>TC19001958.hg.1</w:t>
            </w:r>
          </w:p>
        </w:tc>
        <w:tc>
          <w:tcPr>
            <w:tcW w:type="dxa" w:w="2520"/>
          </w:tcPr>
          <w:p>
            <w:r>
              <w:t>Down in Tumor</w:t>
            </w:r>
          </w:p>
        </w:tc>
      </w:tr>
      <w:tr>
        <w:tc>
          <w:tcPr>
            <w:tcW w:type="dxa" w:w="2520"/>
          </w:tcPr>
          <w:p>
            <w:r>
              <w:t>4</w:t>
            </w:r>
          </w:p>
        </w:tc>
        <w:tc>
          <w:tcPr>
            <w:tcW w:type="dxa" w:w="2520"/>
          </w:tcPr>
          <w:p>
            <w:r>
              <w:t>TC01003191.hg.1</w:t>
            </w:r>
          </w:p>
        </w:tc>
        <w:tc>
          <w:tcPr>
            <w:tcW w:type="dxa" w:w="2520"/>
          </w:tcPr>
          <w:p>
            <w:r>
              <w:t>HIST2H2BC</w:t>
            </w:r>
          </w:p>
        </w:tc>
        <w:tc>
          <w:tcPr>
            <w:tcW w:type="dxa" w:w="2520"/>
          </w:tcPr>
          <w:p>
            <w:r>
              <w:t>Up in Tumor</w:t>
            </w:r>
          </w:p>
        </w:tc>
      </w:tr>
      <w:tr>
        <w:tc>
          <w:tcPr>
            <w:tcW w:type="dxa" w:w="2520"/>
          </w:tcPr>
          <w:p>
            <w:r>
              <w:t>5</w:t>
            </w:r>
          </w:p>
        </w:tc>
        <w:tc>
          <w:tcPr>
            <w:tcW w:type="dxa" w:w="2520"/>
          </w:tcPr>
          <w:p>
            <w:r>
              <w:t>TC11000694.hg.1</w:t>
            </w:r>
          </w:p>
        </w:tc>
        <w:tc>
          <w:tcPr>
            <w:tcW w:type="dxa" w:w="2520"/>
          </w:tcPr>
          <w:p>
            <w:r>
              <w:t>GSTP1</w:t>
            </w:r>
          </w:p>
        </w:tc>
        <w:tc>
          <w:tcPr>
            <w:tcW w:type="dxa" w:w="2520"/>
          </w:tcPr>
          <w:p>
            <w:r>
              <w:t>Up in Tumor</w:t>
            </w:r>
          </w:p>
        </w:tc>
      </w:tr>
      <w:tr>
        <w:tc>
          <w:tcPr>
            <w:tcW w:type="dxa" w:w="2520"/>
          </w:tcPr>
          <w:p>
            <w:r>
              <w:t>6</w:t>
            </w:r>
          </w:p>
        </w:tc>
        <w:tc>
          <w:tcPr>
            <w:tcW w:type="dxa" w:w="2520"/>
          </w:tcPr>
          <w:p>
            <w:r>
              <w:t>TC19000136.hg.1</w:t>
            </w:r>
          </w:p>
        </w:tc>
        <w:tc>
          <w:tcPr>
            <w:tcW w:type="dxa" w:w="2520"/>
          </w:tcPr>
          <w:p>
            <w:r>
              <w:t>CLEC4M</w:t>
            </w:r>
          </w:p>
        </w:tc>
        <w:tc>
          <w:tcPr>
            <w:tcW w:type="dxa" w:w="2520"/>
          </w:tcPr>
          <w:p>
            <w:r>
              <w:t>Down in Tumor</w:t>
            </w:r>
          </w:p>
        </w:tc>
      </w:tr>
      <w:tr>
        <w:tc>
          <w:tcPr>
            <w:tcW w:type="dxa" w:w="2520"/>
          </w:tcPr>
          <w:p>
            <w:r>
              <w:t>7</w:t>
            </w:r>
          </w:p>
        </w:tc>
        <w:tc>
          <w:tcPr>
            <w:tcW w:type="dxa" w:w="2520"/>
          </w:tcPr>
          <w:p>
            <w:r>
              <w:t>TC03000087.hg.1</w:t>
            </w:r>
          </w:p>
        </w:tc>
        <w:tc>
          <w:tcPr>
            <w:tcW w:type="dxa" w:w="2520"/>
          </w:tcPr>
          <w:p>
            <w:r>
              <w:t>SLC6A6</w:t>
            </w:r>
          </w:p>
        </w:tc>
        <w:tc>
          <w:tcPr>
            <w:tcW w:type="dxa" w:w="2520"/>
          </w:tcPr>
          <w:p>
            <w:r>
              <w:t>Up in Tumor</w:t>
            </w:r>
          </w:p>
        </w:tc>
      </w:tr>
      <w:tr>
        <w:tc>
          <w:tcPr>
            <w:tcW w:type="dxa" w:w="2520"/>
          </w:tcPr>
          <w:p>
            <w:r>
              <w:t>8</w:t>
            </w:r>
          </w:p>
        </w:tc>
        <w:tc>
          <w:tcPr>
            <w:tcW w:type="dxa" w:w="2520"/>
          </w:tcPr>
          <w:p>
            <w:r>
              <w:t>TC0X002082.hg.1</w:t>
            </w:r>
          </w:p>
        </w:tc>
        <w:tc>
          <w:tcPr>
            <w:tcW w:type="dxa" w:w="2520"/>
          </w:tcPr>
          <w:p>
            <w:r>
              <w:t>TC0X002082.hg.1</w:t>
            </w:r>
          </w:p>
        </w:tc>
        <w:tc>
          <w:tcPr>
            <w:tcW w:type="dxa" w:w="2520"/>
          </w:tcPr>
          <w:p>
            <w:r>
              <w:t>Down in Tumor</w:t>
            </w:r>
          </w:p>
        </w:tc>
      </w:tr>
      <w:tr>
        <w:tc>
          <w:tcPr>
            <w:tcW w:type="dxa" w:w="2520"/>
          </w:tcPr>
          <w:p>
            <w:r>
              <w:t>9</w:t>
            </w:r>
          </w:p>
        </w:tc>
        <w:tc>
          <w:tcPr>
            <w:tcW w:type="dxa" w:w="2520"/>
          </w:tcPr>
          <w:p>
            <w:r>
              <w:t>TC03000258.hg.1</w:t>
            </w:r>
          </w:p>
        </w:tc>
        <w:tc>
          <w:tcPr>
            <w:tcW w:type="dxa" w:w="2520"/>
          </w:tcPr>
          <w:p>
            <w:r>
              <w:t>RTP3</w:t>
            </w:r>
          </w:p>
        </w:tc>
        <w:tc>
          <w:tcPr>
            <w:tcW w:type="dxa" w:w="2520"/>
          </w:tcPr>
          <w:p>
            <w:r>
              <w:t>Down in Tumor</w:t>
            </w:r>
          </w:p>
        </w:tc>
      </w:tr>
      <w:tr>
        <w:tc>
          <w:tcPr>
            <w:tcW w:type="dxa" w:w="2520"/>
          </w:tcPr>
          <w:p>
            <w:r>
              <w:t>10</w:t>
            </w:r>
          </w:p>
        </w:tc>
        <w:tc>
          <w:tcPr>
            <w:tcW w:type="dxa" w:w="2520"/>
          </w:tcPr>
          <w:p>
            <w:r>
              <w:t>TC06001350.hg.1</w:t>
            </w:r>
          </w:p>
        </w:tc>
        <w:tc>
          <w:tcPr>
            <w:tcW w:type="dxa" w:w="2520"/>
          </w:tcPr>
          <w:p>
            <w:r>
              <w:t>HIST1H2BG</w:t>
            </w:r>
          </w:p>
        </w:tc>
        <w:tc>
          <w:tcPr>
            <w:tcW w:type="dxa" w:w="2520"/>
          </w:tcPr>
          <w:p>
            <w:r>
              <w:t>Up in Tumor</w:t>
            </w:r>
          </w:p>
        </w:tc>
      </w:tr>
      <w:tr>
        <w:tc>
          <w:tcPr>
            <w:tcW w:type="dxa" w:w="2520"/>
          </w:tcPr>
          <w:p>
            <w:r>
              <w:t>11</w:t>
            </w:r>
          </w:p>
        </w:tc>
        <w:tc>
          <w:tcPr>
            <w:tcW w:type="dxa" w:w="2520"/>
          </w:tcPr>
          <w:p>
            <w:r>
              <w:t>TC12000744.hg.1</w:t>
            </w:r>
          </w:p>
        </w:tc>
        <w:tc>
          <w:tcPr>
            <w:tcW w:type="dxa" w:w="2520"/>
          </w:tcPr>
          <w:p>
            <w:r>
              <w:t>TC12000744.hg.1</w:t>
            </w:r>
          </w:p>
        </w:tc>
        <w:tc>
          <w:tcPr>
            <w:tcW w:type="dxa" w:w="2520"/>
          </w:tcPr>
          <w:p>
            <w:r>
              <w:t>Down in Tumor</w:t>
            </w:r>
          </w:p>
        </w:tc>
      </w:tr>
      <w:tr>
        <w:tc>
          <w:tcPr>
            <w:tcW w:type="dxa" w:w="2520"/>
          </w:tcPr>
          <w:p>
            <w:r>
              <w:t>12</w:t>
            </w:r>
          </w:p>
        </w:tc>
        <w:tc>
          <w:tcPr>
            <w:tcW w:type="dxa" w:w="2520"/>
          </w:tcPr>
          <w:p>
            <w:r>
              <w:t>TC04000880.hg.1</w:t>
            </w:r>
          </w:p>
        </w:tc>
        <w:tc>
          <w:tcPr>
            <w:tcW w:type="dxa" w:w="2520"/>
          </w:tcPr>
          <w:p>
            <w:r>
              <w:t>TC04000880.hg.1</w:t>
            </w:r>
          </w:p>
        </w:tc>
        <w:tc>
          <w:tcPr>
            <w:tcW w:type="dxa" w:w="2520"/>
          </w:tcPr>
          <w:p>
            <w:r>
              <w:t>Up in Tumor</w:t>
            </w:r>
          </w:p>
        </w:tc>
      </w:tr>
      <w:tr>
        <w:tc>
          <w:tcPr>
            <w:tcW w:type="dxa" w:w="2520"/>
          </w:tcPr>
          <w:p>
            <w:r>
              <w:t>13</w:t>
            </w:r>
          </w:p>
        </w:tc>
        <w:tc>
          <w:tcPr>
            <w:tcW w:type="dxa" w:w="2520"/>
          </w:tcPr>
          <w:p>
            <w:r>
              <w:t>TC03003057.hg.1</w:t>
            </w:r>
          </w:p>
        </w:tc>
        <w:tc>
          <w:tcPr>
            <w:tcW w:type="dxa" w:w="2520"/>
          </w:tcPr>
          <w:p>
            <w:r>
              <w:t>TC03003057.hg.1</w:t>
            </w:r>
          </w:p>
        </w:tc>
        <w:tc>
          <w:tcPr>
            <w:tcW w:type="dxa" w:w="2520"/>
          </w:tcPr>
          <w:p>
            <w:r>
              <w:t>Down in Tumor</w:t>
            </w:r>
          </w:p>
        </w:tc>
      </w:tr>
      <w:tr>
        <w:tc>
          <w:tcPr>
            <w:tcW w:type="dxa" w:w="2520"/>
          </w:tcPr>
          <w:p>
            <w:r>
              <w:t>14</w:t>
            </w:r>
          </w:p>
        </w:tc>
        <w:tc>
          <w:tcPr>
            <w:tcW w:type="dxa" w:w="2520"/>
          </w:tcPr>
          <w:p>
            <w:r>
              <w:t>TC02001119.hg.1</w:t>
            </w:r>
          </w:p>
        </w:tc>
        <w:tc>
          <w:tcPr>
            <w:tcW w:type="dxa" w:w="2520"/>
          </w:tcPr>
          <w:p>
            <w:r>
              <w:t>MFSD6</w:t>
            </w:r>
          </w:p>
        </w:tc>
        <w:tc>
          <w:tcPr>
            <w:tcW w:type="dxa" w:w="2520"/>
          </w:tcPr>
          <w:p>
            <w:r>
              <w:t>Up in Tumor</w:t>
            </w:r>
          </w:p>
        </w:tc>
      </w:tr>
      <w:tr>
        <w:tc>
          <w:tcPr>
            <w:tcW w:type="dxa" w:w="2520"/>
          </w:tcPr>
          <w:p>
            <w:r>
              <w:t>15</w:t>
            </w:r>
          </w:p>
        </w:tc>
        <w:tc>
          <w:tcPr>
            <w:tcW w:type="dxa" w:w="2520"/>
          </w:tcPr>
          <w:p>
            <w:r>
              <w:t>TC12001607.hg.1</w:t>
            </w:r>
          </w:p>
        </w:tc>
        <w:tc>
          <w:tcPr>
            <w:tcW w:type="dxa" w:w="2520"/>
          </w:tcPr>
          <w:p>
            <w:r>
              <w:t>GLS2</w:t>
            </w:r>
          </w:p>
        </w:tc>
        <w:tc>
          <w:tcPr>
            <w:tcW w:type="dxa" w:w="2520"/>
          </w:tcPr>
          <w:p>
            <w:r>
              <w:t>Down in Tumor</w:t>
            </w:r>
          </w:p>
        </w:tc>
      </w:tr>
      <w:tr>
        <w:tc>
          <w:tcPr>
            <w:tcW w:type="dxa" w:w="2520"/>
          </w:tcPr>
          <w:p>
            <w:r>
              <w:t>16</w:t>
            </w:r>
          </w:p>
        </w:tc>
        <w:tc>
          <w:tcPr>
            <w:tcW w:type="dxa" w:w="2520"/>
          </w:tcPr>
          <w:p>
            <w:r>
              <w:t>TC04002024.hg.1</w:t>
            </w:r>
          </w:p>
        </w:tc>
        <w:tc>
          <w:tcPr>
            <w:tcW w:type="dxa" w:w="2520"/>
          </w:tcPr>
          <w:p>
            <w:r>
              <w:t>TC04002024.hg.1</w:t>
            </w:r>
          </w:p>
        </w:tc>
        <w:tc>
          <w:tcPr>
            <w:tcW w:type="dxa" w:w="2520"/>
          </w:tcPr>
          <w:p>
            <w:r>
              <w:t>Up in Tumor</w:t>
            </w:r>
          </w:p>
        </w:tc>
      </w:tr>
      <w:tr>
        <w:tc>
          <w:tcPr>
            <w:tcW w:type="dxa" w:w="2520"/>
          </w:tcPr>
          <w:p>
            <w:r>
              <w:t>17</w:t>
            </w:r>
          </w:p>
        </w:tc>
        <w:tc>
          <w:tcPr>
            <w:tcW w:type="dxa" w:w="2520"/>
          </w:tcPr>
          <w:p>
            <w:r>
              <w:t>TC16000430.hg.1</w:t>
            </w:r>
          </w:p>
        </w:tc>
        <w:tc>
          <w:tcPr>
            <w:tcW w:type="dxa" w:w="2520"/>
          </w:tcPr>
          <w:p>
            <w:r>
              <w:t>LONP2</w:t>
            </w:r>
          </w:p>
        </w:tc>
        <w:tc>
          <w:tcPr>
            <w:tcW w:type="dxa" w:w="2520"/>
          </w:tcPr>
          <w:p>
            <w:r>
              <w:t>Down in Tumor</w:t>
            </w:r>
          </w:p>
        </w:tc>
      </w:tr>
      <w:tr>
        <w:tc>
          <w:tcPr>
            <w:tcW w:type="dxa" w:w="2520"/>
          </w:tcPr>
          <w:p>
            <w:r>
              <w:t>18</w:t>
            </w:r>
          </w:p>
        </w:tc>
        <w:tc>
          <w:tcPr>
            <w:tcW w:type="dxa" w:w="2520"/>
          </w:tcPr>
          <w:p>
            <w:r>
              <w:t>TC07000606.hg.1</w:t>
            </w:r>
          </w:p>
        </w:tc>
        <w:tc>
          <w:tcPr>
            <w:tcW w:type="dxa" w:w="2520"/>
          </w:tcPr>
          <w:p>
            <w:r>
              <w:t>AZGP1P1</w:t>
            </w:r>
          </w:p>
        </w:tc>
        <w:tc>
          <w:tcPr>
            <w:tcW w:type="dxa" w:w="2520"/>
          </w:tcPr>
          <w:p>
            <w:r>
              <w:t>Down in Tumor</w:t>
            </w:r>
          </w:p>
        </w:tc>
      </w:tr>
      <w:tr>
        <w:tc>
          <w:tcPr>
            <w:tcW w:type="dxa" w:w="2520"/>
          </w:tcPr>
          <w:p>
            <w:r>
              <w:t>19</w:t>
            </w:r>
          </w:p>
        </w:tc>
        <w:tc>
          <w:tcPr>
            <w:tcW w:type="dxa" w:w="2520"/>
          </w:tcPr>
          <w:p>
            <w:r>
              <w:t>TC14001693.hg.1</w:t>
            </w:r>
          </w:p>
        </w:tc>
        <w:tc>
          <w:tcPr>
            <w:tcW w:type="dxa" w:w="2520"/>
          </w:tcPr>
          <w:p>
            <w:r>
              <w:t>TC14001693.hg.1</w:t>
            </w:r>
          </w:p>
        </w:tc>
        <w:tc>
          <w:tcPr>
            <w:tcW w:type="dxa" w:w="2520"/>
          </w:tcPr>
          <w:p>
            <w:r>
              <w:t>Up in Tumor</w:t>
            </w:r>
          </w:p>
        </w:tc>
      </w:tr>
      <w:tr>
        <w:tc>
          <w:tcPr>
            <w:tcW w:type="dxa" w:w="2520"/>
          </w:tcPr>
          <w:p>
            <w:r>
              <w:t>20</w:t>
            </w:r>
          </w:p>
        </w:tc>
        <w:tc>
          <w:tcPr>
            <w:tcW w:type="dxa" w:w="2520"/>
          </w:tcPr>
          <w:p>
            <w:r>
              <w:t>TC12001842.hg.1</w:t>
            </w:r>
          </w:p>
        </w:tc>
        <w:tc>
          <w:tcPr>
            <w:tcW w:type="dxa" w:w="2520"/>
          </w:tcPr>
          <w:p>
            <w:r>
              <w:t>HAL</w:t>
            </w:r>
          </w:p>
        </w:tc>
        <w:tc>
          <w:tcPr>
            <w:tcW w:type="dxa" w:w="2520"/>
          </w:tcPr>
          <w:p>
            <w:r>
              <w:t>Down in Tumor</w:t>
            </w:r>
          </w:p>
        </w:tc>
      </w:tr>
    </w:tbl>
    <w:p>
      <w:pPr>
        <w:pStyle w:val="Heading1"/>
      </w:pPr>
      <w:r>
        <w:t>Generated Outputs</w:t>
      </w:r>
    </w:p>
    <w:p>
      <w:pPr>
        <w:pStyle w:val="ListBullet"/>
      </w:pPr>
      <w:r>
        <w:t>classification_results.csv: Corrected nested patient-level CV results. (available).</w:t>
      </w:r>
    </w:p>
    <w:p>
      <w:pPr>
        <w:pStyle w:val="ListBullet"/>
      </w:pPr>
      <w:r>
        <w:t>external_validation_results.csv: Cross-dataset validation on GSE26566. (available).</w:t>
      </w:r>
    </w:p>
    <w:p>
      <w:pPr>
        <w:pStyle w:val="ListBullet"/>
      </w:pPr>
      <w:r>
        <w:t>biomarkers_ranked.csv: Final candidate biomarker ranking. (available).</w:t>
      </w:r>
    </w:p>
    <w:p>
      <w:pPr>
        <w:pStyle w:val="ListBullet"/>
      </w:pPr>
      <w:r>
        <w:t>fig1_preprocessing_qc.png: Preprocessing QC: normalized expression and PCA separation. (available).</w:t>
      </w:r>
    </w:p>
    <w:p>
      <w:pPr>
        <w:pStyle w:val="ListBullet"/>
      </w:pPr>
      <w:r>
        <w:t>fig2_cv_auc_heatmap.png: Comparative model AUC heatmap across feature-selection pipelines. (available).</w:t>
      </w:r>
    </w:p>
    <w:p>
      <w:pPr>
        <w:pStyle w:val="ListBullet"/>
      </w:pPr>
      <w:r>
        <w:t>fig3_external_validation.png: External validation AUC on GSE26566. (available).</w:t>
      </w:r>
    </w:p>
    <w:p>
      <w:pPr>
        <w:pStyle w:val="ListBullet"/>
      </w:pPr>
      <w:r>
        <w:t>fig4_roc_svmrfe.png: ROC curves with train-split-only SVM-RFE feature selection. (available).</w:t>
      </w:r>
    </w:p>
    <w:p>
      <w:pPr>
        <w:pStyle w:val="ListBullet"/>
      </w:pPr>
      <w:r>
        <w:t>fig5_overfitting_diagnostic.png: Learning curve with nested feature selection inside each fold. (available).</w:t>
      </w:r>
    </w:p>
    <w:p>
      <w:pPr>
        <w:pStyle w:val="Heading2"/>
      </w:pPr>
      <w:r>
        <w:t>Figure 4: ROC Curve Evaluation</w:t>
      </w:r>
    </w:p>
    <w:p>
      <w:r>
        <w:drawing>
          <wp:inline xmlns:a="http://schemas.openxmlformats.org/drawingml/2006/main" xmlns:pic="http://schemas.openxmlformats.org/drawingml/2006/picture">
            <wp:extent cx="5852160" cy="4947375"/>
            <wp:docPr id="4" name="Picture 4"/>
            <wp:cNvGraphicFramePr>
              <a:graphicFrameLocks noChangeAspect="1"/>
            </wp:cNvGraphicFramePr>
            <a:graphic>
              <a:graphicData uri="http://schemas.openxmlformats.org/drawingml/2006/picture">
                <pic:pic>
                  <pic:nvPicPr>
                    <pic:cNvPr id="0" name="fig4_roc_svmrfe.png"/>
                    <pic:cNvPicPr/>
                  </pic:nvPicPr>
                  <pic:blipFill>
                    <a:blip r:embed="rId12"/>
                    <a:stretch>
                      <a:fillRect/>
                    </a:stretch>
                  </pic:blipFill>
                  <pic:spPr>
                    <a:xfrm>
                      <a:off x="0" y="0"/>
                      <a:ext cx="5852160" cy="4947375"/>
                    </a:xfrm>
                    <a:prstGeom prst="rect"/>
                  </pic:spPr>
                </pic:pic>
              </a:graphicData>
            </a:graphic>
          </wp:inline>
        </w:drawing>
      </w:r>
    </w:p>
    <w:p>
      <w:r>
        <w:t>Figure 4 presents ROC curves for the classifiers under the SVM-RFE feature-selection pipeline. The ROC curve plots sensitivity against the false-positive rate across decision thresholds, so it is more informative than a single fixed-threshold accuracy value. A curve closer to the top-left corner indicates stronger discrimination, and the AUC summarizes that discrimination into one threshold-independent metric.</w:t>
      </w:r>
    </w:p>
    <w:p>
      <w:r>
        <w:t>This figure complements the heatmap in Figure 2. The heatmap compares AUC values across all model-feature-selection combinations, while the ROC plot shows the detailed threshold behavior of the selected pipeline. Strong ROC curves suggest that the classifier can rank tumor samples above non-tumor samples consistently rather than relying on one lucky classification threshold. For biomedical classification, this is useful because the decision threshold can be adjusted depending on whether sensitivity or specificity is prioritized.</w:t>
      </w:r>
    </w:p>
    <w:p>
      <w:pPr>
        <w:pStyle w:val="Heading1"/>
      </w:pPr>
      <w:r>
        <w:t>Verified Supporting Literature</w:t>
      </w:r>
    </w:p>
    <w:p>
      <w:r>
        <w:t>The following references were checked against publisher or repository pages and are used only for claims they directly support.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Reference</w:t>
            </w:r>
          </w:p>
        </w:tc>
        <w:tc>
          <w:tcPr>
            <w:tcW w:type="dxa" w:w="2520"/>
          </w:tcPr>
          <w:p>
            <w:r>
              <w:t>Source</w:t>
            </w:r>
          </w:p>
        </w:tc>
        <w:tc>
          <w:tcPr>
            <w:tcW w:type="dxa" w:w="2520"/>
          </w:tcPr>
          <w:p>
            <w:r>
              <w:t>Relevance</w:t>
            </w:r>
          </w:p>
        </w:tc>
        <w:tc>
          <w:tcPr>
            <w:tcW w:type="dxa" w:w="2520"/>
          </w:tcPr>
          <w:p>
            <w:r>
              <w:t>Link / DOI</w:t>
            </w:r>
          </w:p>
        </w:tc>
      </w:tr>
      <w:tr>
        <w:tc>
          <w:tcPr>
            <w:tcW w:type="dxa" w:w="2520"/>
          </w:tcPr>
          <w:p>
            <w:r>
              <w:t>Zhu et al., 2025</w:t>
            </w:r>
          </w:p>
        </w:tc>
        <w:tc>
          <w:tcPr>
            <w:tcW w:type="dxa" w:w="2520"/>
          </w:tcPr>
          <w:p>
            <w:r>
              <w:t>Scientific Reports</w:t>
            </w:r>
          </w:p>
        </w:tc>
        <w:tc>
          <w:tcPr>
            <w:tcW w:type="dxa" w:w="2520"/>
          </w:tcPr>
          <w:p>
            <w:r>
              <w:t>LightGBM diagnostic model for CCA using APOF/DIO1/OTC; supports CCA ML benchmarking context.</w:t>
            </w:r>
          </w:p>
        </w:tc>
        <w:tc>
          <w:tcPr>
            <w:tcW w:type="dxa" w:w="2520"/>
          </w:tcPr>
          <w:p>
            <w:r>
              <w:t>https://doi.org/10.1038/s41598-025-30431-5</w:t>
            </w:r>
          </w:p>
        </w:tc>
      </w:tr>
      <w:tr>
        <w:tc>
          <w:tcPr>
            <w:tcW w:type="dxa" w:w="2520"/>
          </w:tcPr>
          <w:p>
            <w:r>
              <w:t>Negrini et al., 2020</w:t>
            </w:r>
          </w:p>
        </w:tc>
        <w:tc>
          <w:tcPr>
            <w:tcW w:type="dxa" w:w="2520"/>
          </w:tcPr>
          <w:p>
            <w:r>
              <w:t>PMC / metabolomic CCA screening</w:t>
            </w:r>
          </w:p>
        </w:tc>
        <w:tc>
          <w:tcPr>
            <w:tcW w:type="dxa" w:w="2520"/>
          </w:tcPr>
          <w:p>
            <w:r>
              <w:t>Compared six ML models for CCA screening; Naive Bayes and SVM reached high AUC on holdout data.</w:t>
            </w:r>
          </w:p>
        </w:tc>
        <w:tc>
          <w:tcPr>
            <w:tcW w:type="dxa" w:w="2520"/>
          </w:tcPr>
          <w:p>
            <w:r>
              <w:t>https://pmc.ncbi.nlm.nih.gov/articles/PMC7460348/</w:t>
            </w:r>
          </w:p>
        </w:tc>
      </w:tr>
      <w:tr>
        <w:tc>
          <w:tcPr>
            <w:tcW w:type="dxa" w:w="2520"/>
          </w:tcPr>
          <w:p>
            <w:r>
              <w:t>Shen et al., 2022</w:t>
            </w:r>
          </w:p>
        </w:tc>
        <w:tc>
          <w:tcPr>
            <w:tcW w:type="dxa" w:w="2520"/>
          </w:tcPr>
          <w:p>
            <w:r>
              <w:t>Frontiers in Oncology</w:t>
            </w:r>
          </w:p>
        </w:tc>
        <w:tc>
          <w:tcPr>
            <w:tcW w:type="dxa" w:w="2520"/>
          </w:tcPr>
          <w:p>
            <w:r>
              <w:t>Gene-chip meta-analysis for CCA biomarkers using GEO datasets including GSE26566.</w:t>
            </w:r>
          </w:p>
        </w:tc>
        <w:tc>
          <w:tcPr>
            <w:tcW w:type="dxa" w:w="2520"/>
          </w:tcPr>
          <w:p>
            <w:r>
              <w:t>https://doi.org/10.3389/fonc.2022.1001400</w:t>
            </w:r>
          </w:p>
        </w:tc>
      </w:tr>
      <w:tr>
        <w:tc>
          <w:tcPr>
            <w:tcW w:type="dxa" w:w="2520"/>
          </w:tcPr>
          <w:p>
            <w:r>
              <w:t>Fan et al., 2024</w:t>
            </w:r>
          </w:p>
        </w:tc>
        <w:tc>
          <w:tcPr>
            <w:tcW w:type="dxa" w:w="2520"/>
          </w:tcPr>
          <w:p>
            <w:r>
              <w:t>Nature Communications</w:t>
            </w:r>
          </w:p>
        </w:tc>
        <w:tc>
          <w:tcPr>
            <w:tcW w:type="dxa" w:w="2520"/>
          </w:tcPr>
          <w:p>
            <w:r>
              <w:t>Transcriptome-based CCA molecular classification and CORE-37 prognostic biomarker.</w:t>
            </w:r>
          </w:p>
        </w:tc>
        <w:tc>
          <w:tcPr>
            <w:tcW w:type="dxa" w:w="2520"/>
          </w:tcPr>
          <w:p>
            <w:r>
              <w:t>https://doi.org/10.1038/s41467-024-44748-8</w:t>
            </w:r>
          </w:p>
        </w:tc>
      </w:tr>
      <w:tr>
        <w:tc>
          <w:tcPr>
            <w:tcW w:type="dxa" w:w="2520"/>
          </w:tcPr>
          <w:p>
            <w:r>
              <w:t>Liu et al., 2021</w:t>
            </w:r>
          </w:p>
        </w:tc>
        <w:tc>
          <w:tcPr>
            <w:tcW w:type="dxa" w:w="2520"/>
          </w:tcPr>
          <w:p>
            <w:r>
              <w:t>Scientific Reports</w:t>
            </w:r>
          </w:p>
        </w:tc>
        <w:tc>
          <w:tcPr>
            <w:tcW w:type="dxa" w:w="2520"/>
          </w:tcPr>
          <w:p>
            <w:r>
              <w:t>Large-cohort CCA transcriptomic landscape using GSE76297 and GSE26566 among other cohorts.</w:t>
            </w:r>
          </w:p>
        </w:tc>
        <w:tc>
          <w:tcPr>
            <w:tcW w:type="dxa" w:w="2520"/>
          </w:tcPr>
          <w:p>
            <w:r>
              <w:t>https://doi.org/10.1038/s41598-021-93250-4</w:t>
            </w:r>
          </w:p>
        </w:tc>
      </w:tr>
      <w:tr>
        <w:tc>
          <w:tcPr>
            <w:tcW w:type="dxa" w:w="2520"/>
          </w:tcPr>
          <w:p>
            <w:r>
              <w:t>Alharbi &amp; Vakanski, 2023</w:t>
            </w:r>
          </w:p>
        </w:tc>
        <w:tc>
          <w:tcPr>
            <w:tcW w:type="dxa" w:w="2520"/>
          </w:tcPr>
          <w:p>
            <w:r>
              <w:t>Bioengineering</w:t>
            </w:r>
          </w:p>
        </w:tc>
        <w:tc>
          <w:tcPr>
            <w:tcW w:type="dxa" w:w="2520"/>
          </w:tcPr>
          <w:p>
            <w:r>
              <w:t>Review of machine learning methods for cancer classification using gene expression data.</w:t>
            </w:r>
          </w:p>
        </w:tc>
        <w:tc>
          <w:tcPr>
            <w:tcW w:type="dxa" w:w="2520"/>
          </w:tcPr>
          <w:p>
            <w:r>
              <w:t>https://pmc.ncbi.nlm.nih.gov/articles/PMC9952758/</w:t>
            </w:r>
          </w:p>
        </w:tc>
      </w:tr>
      <w:tr>
        <w:tc>
          <w:tcPr>
            <w:tcW w:type="dxa" w:w="2520"/>
          </w:tcPr>
          <w:p>
            <w:r>
              <w:t>Alhenawi et al., 2022</w:t>
            </w:r>
          </w:p>
        </w:tc>
        <w:tc>
          <w:tcPr>
            <w:tcW w:type="dxa" w:w="2520"/>
          </w:tcPr>
          <w:p>
            <w:r>
              <w:t>Computers in Biology and Medicine</w:t>
            </w:r>
          </w:p>
        </w:tc>
        <w:tc>
          <w:tcPr>
            <w:tcW w:type="dxa" w:w="2520"/>
          </w:tcPr>
          <w:p>
            <w:r>
              <w:t>Systematic review of feature selection methods for microarray cancer classification.</w:t>
            </w:r>
          </w:p>
        </w:tc>
        <w:tc>
          <w:tcPr>
            <w:tcW w:type="dxa" w:w="2520"/>
          </w:tcPr>
          <w:p>
            <w:r>
              <w:t>https://doi.org/10.1016/j.compbiomed.2021.105051</w:t>
            </w:r>
          </w:p>
        </w:tc>
      </w:tr>
      <w:tr>
        <w:tc>
          <w:tcPr>
            <w:tcW w:type="dxa" w:w="2520"/>
          </w:tcPr>
          <w:p>
            <w:r>
              <w:t>Zanella et al., 2022</w:t>
            </w:r>
          </w:p>
        </w:tc>
        <w:tc>
          <w:tcPr>
            <w:tcW w:type="dxa" w:w="2520"/>
          </w:tcPr>
          <w:p>
            <w:r>
              <w:t>International Journal of Molecular Sciences</w:t>
            </w:r>
          </w:p>
        </w:tc>
        <w:tc>
          <w:tcPr>
            <w:tcW w:type="dxa" w:w="2520"/>
          </w:tcPr>
          <w:p>
            <w:r>
              <w:t>Comparative study of feature selectors and classifiers for high-dimensional gene-expression classification.</w:t>
            </w:r>
          </w:p>
        </w:tc>
        <w:tc>
          <w:tcPr>
            <w:tcW w:type="dxa" w:w="2520"/>
          </w:tcPr>
          <w:p>
            <w:r>
              <w:t>https://doi.org/10.3390/ijms23169087</w:t>
            </w:r>
          </w:p>
        </w:tc>
      </w:tr>
    </w:tbl>
    <w:p>
      <w:pPr>
        <w:pStyle w:val="Heading1"/>
      </w:pPr>
      <w:r>
        <w:t>Overfitting and Underfitting Diagnosis</w:t>
      </w:r>
    </w:p>
    <w:p>
      <w:r>
        <w:drawing>
          <wp:inline xmlns:a="http://schemas.openxmlformats.org/drawingml/2006/main" xmlns:pic="http://schemas.openxmlformats.org/drawingml/2006/picture">
            <wp:extent cx="5852160" cy="4279112"/>
            <wp:docPr id="5" name="Picture 5"/>
            <wp:cNvGraphicFramePr>
              <a:graphicFrameLocks noChangeAspect="1"/>
            </wp:cNvGraphicFramePr>
            <a:graphic>
              <a:graphicData uri="http://schemas.openxmlformats.org/drawingml/2006/picture">
                <pic:pic>
                  <pic:nvPicPr>
                    <pic:cNvPr id="0" name="fig5_overfitting_diagnostic.png"/>
                    <pic:cNvPicPr/>
                  </pic:nvPicPr>
                  <pic:blipFill>
                    <a:blip r:embed="rId13"/>
                    <a:stretch>
                      <a:fillRect/>
                    </a:stretch>
                  </pic:blipFill>
                  <pic:spPr>
                    <a:xfrm>
                      <a:off x="0" y="0"/>
                      <a:ext cx="5852160" cy="4279112"/>
                    </a:xfrm>
                    <a:prstGeom prst="rect"/>
                  </pic:spPr>
                </pic:pic>
              </a:graphicData>
            </a:graphic>
          </wp:inline>
        </w:drawing>
      </w:r>
    </w:p>
    <w:p>
      <w:r>
        <w:t>The learning-curve diagnostic indicates that the model is not underfitting. Underfitting would appear as low training AUC and low validation AUC, meaning that the model is too simple or that the selected features do not contain enough information to distinguish tumor from non-tumor samples. In this project, both curves are high across the training-size range, so the model is clearly able to learn the relevant expression pattern.</w:t>
      </w:r>
    </w:p>
    <w:p>
      <w:r>
        <w:t>The same diagnostic also does not show the typical pattern of overfitting. Overfitting would appear as a large separation between the training curve and the validation curve: training AUC would remain very high, while validation AUC would drop because the model had memorized training-specific noise. In the generated learning curve, the training and validation lines overlap, and the final train-validation gap is approximately zero. This means that the model's performance on held-out patient groups is similar to its performance on the training groups.</w:t>
      </w:r>
    </w:p>
    <w:p>
      <w:r>
        <w:t>The reason the model can perform very well without necessarily being overfit is biological and methodological. Biologically, tumor and adjacent non-tumor tissue often differ strongly in gene-expression programs related to cell proliferation, immune activity, metabolism, extracellular matrix remodeling, and tissue organization. Microarray data can capture these broad transcriptomic shifts, so a classifier does not need to rely on a weak or subtle signal. Methodologically, the pipeline reduces the high-dimensional expression matrix to informative features through training-only DEG prefiltering and SVM-RFE/LASSO/RF feature selection, then evaluates the model with patient-level grouping so paired samples from the same patient do not leak across train and validation folds.</w:t>
      </w:r>
    </w:p>
    <w:p>
      <w:r>
        <w:t>However, the result should still be reported carefully. A very high internal AUC should be described as strong internal discrimination, not as universal perfection. The strongest safeguard is the external validation experiment: when the model is trained on GSE76297 and tested on the independent GSE26566 cohort across a different platform, the best external AUC remains high but lower than the internal CV result. That drop is expected and healthy because external validation includes cohort, platform, and preprocessing differences. Therefore, the most balanced conclusion is that the model is well-fitted on the primary cohort, shows no clear underfitting or overfitting in the nested learning curve, and retains meaningful generalization in external validation.</w:t>
      </w:r>
    </w:p>
    <w:p>
      <w:pPr>
        <w:pStyle w:val="Heading1"/>
      </w:pPr>
      <w:r>
        <w:t>Interpretation Note</w:t>
      </w:r>
    </w:p>
    <w:p>
      <w:r>
        <w:t>The corrected internal CV results are very high and the nested learning curve does not indicate overfitting or underfitting. These results should still be described as strong internal performance rather than proof of perfection; external validation on GSE26566 is used as the main generalization check.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