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lib2ebs24e6j" w:id="0"/>
      <w:bookmarkEnd w:id="0"/>
      <w:r w:rsidDel="00000000" w:rsidR="00000000" w:rsidRPr="00000000">
        <w:rPr>
          <w:rtl w:val="0"/>
        </w:rPr>
        <w:t xml:space="preserve">Manual Teórico: Etapa 1 — Fundamentos de Python para RAG y Agentes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Este documento constituye el material teórico obligatorio para los nuevos integrantes del equipo de Investigación y Desarrollo. Su objetivo es nivelar los conocimientos técnicos en Python bajo un enfoque estrictamente orientado a la arquitectura de nuestro Agente Conversacional Personalizado.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u1hzdpqh3ek6" w:id="1"/>
      <w:bookmarkEnd w:id="1"/>
      <w:r w:rsidDel="00000000" w:rsidR="00000000" w:rsidRPr="00000000">
        <w:rPr>
          <w:rtl w:val="0"/>
        </w:rPr>
        <w:t xml:space="preserve">1. Programación Orientada a Objetos (POO) en el Ecosistema RAG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En el desarrollo de sistemas RAG (Retrieval-Augmented Generation), la POO no es solo una forma de organizar código, sino el mecanismo mediante el cual extendemos las capacidades de frameworks como LangChain.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y3b1g2y0un7x" w:id="2"/>
      <w:bookmarkEnd w:id="2"/>
      <w:r w:rsidDel="00000000" w:rsidR="00000000" w:rsidRPr="00000000">
        <w:rPr>
          <w:rtl w:val="0"/>
        </w:rPr>
        <w:t xml:space="preserve">1.1 El Concepto de Interfaces Implícitas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La mayoría de los componentes que utilizaremos (Loaders, Splitters, Retrievers) heredan de clases base abstractas. Al heredar de una clase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BaseRetriever</w:t>
      </w:r>
      <w:r w:rsidDel="00000000" w:rsidR="00000000" w:rsidRPr="00000000">
        <w:rPr>
          <w:rtl w:val="0"/>
        </w:rPr>
        <w:t xml:space="preserve">, estamos firmando un "contrato" que nos obliga a implementar métodos específicos (como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_get_relevant_documents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z4facxj2oqki" w:id="3"/>
      <w:bookmarkEnd w:id="3"/>
      <w:r w:rsidDel="00000000" w:rsidR="00000000" w:rsidRPr="00000000">
        <w:rPr>
          <w:rtl w:val="0"/>
        </w:rPr>
        <w:t xml:space="preserve">1.2 El Rol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</w:t>
      </w:r>
      <w:r w:rsidDel="00000000" w:rsidR="00000000" w:rsidRPr="00000000">
        <w:rPr>
          <w:rtl w:val="0"/>
        </w:rPr>
        <w:t xml:space="preserve"> y el Estado del Objeto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Es crucial entender que cada instancia de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Retriever</w:t>
      </w:r>
      <w:r w:rsidDel="00000000" w:rsidR="00000000" w:rsidRPr="00000000">
        <w:rPr>
          <w:rtl w:val="0"/>
        </w:rPr>
        <w:t xml:space="preserve"> o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VectorStore</w:t>
      </w:r>
      <w:r w:rsidDel="00000000" w:rsidR="00000000" w:rsidRPr="00000000">
        <w:rPr>
          <w:rtl w:val="0"/>
        </w:rPr>
        <w:t xml:space="preserve"> mantiene su propio estado (conexiones a bases de datos, configuraciones de búsqueda). Sin el uso correcto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</w:t>
      </w:r>
      <w:r w:rsidDel="00000000" w:rsidR="00000000" w:rsidRPr="00000000">
        <w:rPr>
          <w:rtl w:val="0"/>
        </w:rPr>
        <w:t xml:space="preserve">, perderíamos la capacidad de gestionar múltiples fuentes de conocimiento de forma aislada.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3zswkk3yicdz" w:id="4"/>
      <w:bookmarkEnd w:id="4"/>
      <w:r w:rsidDel="00000000" w:rsidR="00000000" w:rsidRPr="00000000">
        <w:rPr>
          <w:rtl w:val="0"/>
        </w:rPr>
        <w:t xml:space="preserve">2. Tipado Estático y Validación de Datos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Dado que trabajamos con flujos de datos complejos (embeddings, metadatos, historiales de chat), el uso de </w:t>
      </w:r>
      <w:r w:rsidDel="00000000" w:rsidR="00000000" w:rsidRPr="00000000">
        <w:rPr>
          <w:b w:val="1"/>
          <w:bCs w:val="1"/>
          <w:rtl w:val="0"/>
        </w:rPr>
        <w:t xml:space="preserve">Type Hints</w:t>
      </w:r>
      <w:r w:rsidDel="00000000" w:rsidR="00000000" w:rsidRPr="00000000">
        <w:rPr>
          <w:rtl w:val="0"/>
        </w:rPr>
        <w:t xml:space="preserve"> es innegociable para mantener la robustez del sistema.2.1 Beneficios en Equipos de I+D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Autodocumentación:</w:t>
      </w:r>
      <w:r w:rsidDel="00000000" w:rsidR="00000000" w:rsidRPr="00000000">
        <w:rPr>
          <w:rtl w:val="0"/>
        </w:rPr>
        <w:t xml:space="preserve"> El código indica qué espera recibir y qué devuelve sin necesidad de comentarios extensos.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Detección Temprana:</w:t>
      </w:r>
      <w:r w:rsidDel="00000000" w:rsidR="00000000" w:rsidRPr="00000000">
        <w:rPr>
          <w:rtl w:val="0"/>
        </w:rPr>
        <w:t xml:space="preserve"> Herramientas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mypy</w:t>
      </w:r>
      <w:r w:rsidDel="00000000" w:rsidR="00000000" w:rsidRPr="00000000">
        <w:rPr>
          <w:rtl w:val="0"/>
        </w:rPr>
        <w:t xml:space="preserve"> permiten detectar errores de lógica antes de la ejecución.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yvl0fp9uszoo" w:id="5"/>
      <w:bookmarkEnd w:id="5"/>
      <w:r w:rsidDel="00000000" w:rsidR="00000000" w:rsidRPr="00000000">
        <w:rPr>
          <w:rtl w:val="0"/>
        </w:rPr>
        <w:t xml:space="preserve">2.2 Introducción a Pydantic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En la Etapa 4 conectaremos nuestra lógica con </w:t>
      </w:r>
      <w:r w:rsidDel="00000000" w:rsidR="00000000" w:rsidRPr="00000000">
        <w:rPr>
          <w:b w:val="1"/>
          <w:bCs w:val="1"/>
          <w:rtl w:val="0"/>
        </w:rPr>
        <w:t xml:space="preserve">FastAPI</w:t>
      </w:r>
      <w:r w:rsidDel="00000000" w:rsidR="00000000" w:rsidRPr="00000000">
        <w:rPr>
          <w:rtl w:val="0"/>
        </w:rPr>
        <w:t xml:space="preserve">. FastAPI utiliza </w:t>
      </w:r>
      <w:r w:rsidDel="00000000" w:rsidR="00000000" w:rsidRPr="00000000">
        <w:rPr>
          <w:b w:val="1"/>
          <w:bCs w:val="1"/>
          <w:rtl w:val="0"/>
        </w:rPr>
        <w:t xml:space="preserve">Pydantic</w:t>
      </w:r>
      <w:r w:rsidDel="00000000" w:rsidR="00000000" w:rsidRPr="00000000">
        <w:rPr>
          <w:rtl w:val="0"/>
        </w:rPr>
        <w:t xml:space="preserve"> para la validación de esquemas.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BaseModel:</w:t>
      </w:r>
      <w:r w:rsidDel="00000000" w:rsidR="00000000" w:rsidRPr="00000000">
        <w:rPr>
          <w:rtl w:val="0"/>
        </w:rPr>
        <w:t xml:space="preserve"> Permite definir la estructura de las peticiones (ej. un mensaje de usuario) y asegurar que los datos cumplen con el tipo esperado antes de procesarlos.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Característica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 Hints (Python)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Pydantic (Validación)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Propósito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Documentación y análisis estático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Validación en tiempo de ejecución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Fallo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detiene la ejecución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Lanza un error de validación claro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Uso común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Funciones internas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Interfaces de API y Configuración</w:t>
            </w:r>
          </w:p>
        </w:tc>
      </w:tr>
    </w:tbl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mur9guyv9hx2" w:id="6"/>
      <w:bookmarkEnd w:id="6"/>
      <w:r w:rsidDel="00000000" w:rsidR="00000000" w:rsidRPr="00000000">
        <w:rPr>
          <w:rtl w:val="0"/>
        </w:rPr>
        <w:t xml:space="preserve">3. Concurrencia y Programación Asíncrona (Async/Await)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Nuestro agente debe ser capaz de manejar múltiples usuarios y, lo más importante, realizar </w:t>
      </w:r>
      <w:r w:rsidDel="00000000" w:rsidR="00000000" w:rsidRPr="00000000">
        <w:rPr>
          <w:b w:val="1"/>
          <w:bCs w:val="1"/>
          <w:rtl w:val="0"/>
        </w:rPr>
        <w:t xml:space="preserve">streaming de respuestas</w:t>
      </w:r>
      <w:r w:rsidDel="00000000" w:rsidR="00000000" w:rsidRPr="00000000">
        <w:rPr>
          <w:rtl w:val="0"/>
        </w:rPr>
        <w:t xml:space="preserve">. Esto es imposible de lograr de forma eficiente con código síncrono.</w:t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56wmhkfiug9j" w:id="7"/>
      <w:bookmarkEnd w:id="7"/>
      <w:r w:rsidDel="00000000" w:rsidR="00000000" w:rsidRPr="00000000">
        <w:rPr>
          <w:rtl w:val="0"/>
        </w:rPr>
        <w:t xml:space="preserve">3.1 El Event Loop (Bucle de Eventos)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Python utiliza un modelo de un solo hilo para la asincronía. Cuando usamos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tl w:val="0"/>
        </w:rPr>
        <w:t xml:space="preserve">, le decimos al programa: "mientras esperas la respuesta del modelo (vLLM), atiende otras peticiones".</w:t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v3egdmvx1yjt" w:id="8"/>
      <w:bookmarkEnd w:id="8"/>
      <w:r w:rsidDel="00000000" w:rsidR="00000000" w:rsidRPr="00000000">
        <w:rPr>
          <w:rtl w:val="0"/>
        </w:rPr>
        <w:t xml:space="preserve">3.2 Streaming y Generadores Asíncronos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El streaming se basa en enviar fragmentos de texto (tokens) a medida que el modelo los genera.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async yield</w:t>
      </w:r>
      <w:r w:rsidDel="00000000" w:rsidR="00000000" w:rsidRPr="00000000">
        <w:rPr>
          <w:rtl w:val="0"/>
        </w:rPr>
        <w:t xml:space="preserve">: Permite que una función devuelva una serie de valores a lo largo del tiempo sin cerrar la conexión, lo que mejora drásticamente la experiencia de usuario (UX).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i32xzo31fke1" w:id="9"/>
      <w:bookmarkEnd w:id="9"/>
      <w:r w:rsidDel="00000000" w:rsidR="00000000" w:rsidRPr="00000000">
        <w:rPr>
          <w:rtl w:val="0"/>
        </w:rPr>
        <w:t xml:space="preserve">4. Gestión de Estado con TypedDict y LangGraph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Uno de los mayores retos en agentes conversacionales es mantener el "hilo" de la conversación.</w:t>
      </w:r>
    </w:p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588lea1zthyk" w:id="10"/>
      <w:bookmarkEnd w:id="10"/>
      <w:r w:rsidDel="00000000" w:rsidR="00000000" w:rsidRPr="00000000">
        <w:rPr>
          <w:rtl w:val="0"/>
        </w:rPr>
        <w:t xml:space="preserve">4.1 TypedDict como Contenedor de Estado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b w:val="1"/>
          <w:bCs w:val="1"/>
          <w:rtl w:val="0"/>
        </w:rPr>
        <w:t xml:space="preserve">LangGraph</w:t>
      </w:r>
      <w:r w:rsidDel="00000000" w:rsidR="00000000" w:rsidRPr="00000000">
        <w:rPr>
          <w:rtl w:val="0"/>
        </w:rPr>
        <w:t xml:space="preserve">, el estado del agente se define mediante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TypedDict</w:t>
      </w:r>
      <w:r w:rsidDel="00000000" w:rsidR="00000000" w:rsidRPr="00000000">
        <w:rPr>
          <w:rtl w:val="0"/>
        </w:rPr>
        <w:t xml:space="preserve">. A diferencia de un diccionario normal, este nos obliga a usar claves específicas con tipos definidos.</w:t>
      </w:r>
    </w:p>
    <w:p w:rsidR="00000000" w:rsidDel="00000000" w:rsidP="00000000" w:rsidRDefault="00000000" w:rsidRPr="00000000" w14:paraId="00000032">
      <w:pPr>
        <w:pStyle w:val="Heading3"/>
        <w:rPr/>
      </w:pPr>
      <w:bookmarkStart w:colFirst="0" w:colLast="0" w:name="_owndy7xdi8ft" w:id="11"/>
      <w:bookmarkEnd w:id="11"/>
      <w:r w:rsidDel="00000000" w:rsidR="00000000" w:rsidRPr="00000000">
        <w:rPr>
          <w:rtl w:val="0"/>
        </w:rPr>
        <w:t xml:space="preserve">4.2 Anotaciones y Reductores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Utilizamos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Annotated[list, operator.add]</w:t>
      </w:r>
      <w:r w:rsidDel="00000000" w:rsidR="00000000" w:rsidRPr="00000000">
        <w:rPr>
          <w:rtl w:val="0"/>
        </w:rPr>
        <w:t xml:space="preserve"> para indicar que la lista de mensajes es un acumulador. Cada vez que un "nodo" del grafo genera una respuesta, esta se </w:t>
      </w:r>
      <w:r w:rsidDel="00000000" w:rsidR="00000000" w:rsidRPr="00000000">
        <w:rPr>
          <w:b w:val="1"/>
          <w:bCs w:val="1"/>
          <w:rtl w:val="0"/>
        </w:rPr>
        <w:t xml:space="preserve">suma</w:t>
      </w:r>
      <w:r w:rsidDel="00000000" w:rsidR="00000000" w:rsidRPr="00000000">
        <w:rPr>
          <w:rtl w:val="0"/>
        </w:rPr>
        <w:t xml:space="preserve"> al historial en lugar de reemplazarlo, permitiendo que el modelo tenga memoria de la conversación.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xvvg438s2bcd" w:id="12"/>
      <w:bookmarkEnd w:id="12"/>
      <w:r w:rsidDel="00000000" w:rsidR="00000000" w:rsidRPr="00000000">
        <w:rPr>
          <w:rtl w:val="0"/>
        </w:rPr>
        <w:t xml:space="preserve">5. Resiliencia: Manejo de Errores y Excepciones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Las llamadas a APIs de modelos de lenguaje o bases de datos vectoriales (ChromaDB/Qdrant) pueden fallar por latencia, cuotas o errores de red.</w:t>
      </w:r>
    </w:p>
    <w:p w:rsidR="00000000" w:rsidDel="00000000" w:rsidP="00000000" w:rsidRDefault="00000000" w:rsidRPr="00000000" w14:paraId="00000038">
      <w:pPr>
        <w:pStyle w:val="Heading3"/>
        <w:rPr/>
      </w:pPr>
      <w:bookmarkStart w:colFirst="0" w:colLast="0" w:name="_6j5arbhq05cb" w:id="13"/>
      <w:bookmarkEnd w:id="13"/>
      <w:r w:rsidDel="00000000" w:rsidR="00000000" w:rsidRPr="00000000">
        <w:rPr>
          <w:rtl w:val="0"/>
        </w:rPr>
        <w:t xml:space="preserve">5.1 Jerarquía de Excepciones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Es vital capturar errores específicos. No es lo mismo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TimeoutError</w:t>
      </w:r>
      <w:r w:rsidDel="00000000" w:rsidR="00000000" w:rsidRPr="00000000">
        <w:rPr>
          <w:rtl w:val="0"/>
        </w:rPr>
        <w:t xml:space="preserve"> (podemos reintentar) que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ValueError</w:t>
      </w:r>
      <w:r w:rsidDel="00000000" w:rsidR="00000000" w:rsidRPr="00000000">
        <w:rPr>
          <w:rtl w:val="0"/>
        </w:rPr>
        <w:t xml:space="preserve"> (nuestro input es incorrecto y requiere ajuste de código).</w:t>
      </w:r>
    </w:p>
    <w:p w:rsidR="00000000" w:rsidDel="00000000" w:rsidP="00000000" w:rsidRDefault="00000000" w:rsidRPr="00000000" w14:paraId="0000003A">
      <w:pPr>
        <w:pStyle w:val="Heading3"/>
        <w:rPr/>
      </w:pPr>
      <w:bookmarkStart w:colFirst="0" w:colLast="0" w:name="_lskgkr77xx2h" w:id="14"/>
      <w:bookmarkEnd w:id="14"/>
      <w:r w:rsidDel="00000000" w:rsidR="00000000" w:rsidRPr="00000000">
        <w:rPr>
          <w:rtl w:val="0"/>
        </w:rPr>
        <w:t xml:space="preserve">5.2 El Patrón Retry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Para la robustez del proyecto, implementaremos lógicas de reintento con </w:t>
      </w:r>
      <w:r w:rsidDel="00000000" w:rsidR="00000000" w:rsidRPr="00000000">
        <w:rPr>
          <w:i w:val="1"/>
          <w:iCs w:val="1"/>
          <w:rtl w:val="0"/>
        </w:rPr>
        <w:t xml:space="preserve">backoff</w:t>
      </w:r>
      <w:r w:rsidDel="00000000" w:rsidR="00000000" w:rsidRPr="00000000">
        <w:rPr>
          <w:rtl w:val="0"/>
        </w:rPr>
        <w:t xml:space="preserve"> exponencial en las llamadas a servicios externos, asegurando que un fallo momentáneo no rompa la experiencia del usuario final.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9r9s2qf740ud" w:id="15"/>
      <w:bookmarkEnd w:id="15"/>
      <w:r w:rsidDel="00000000" w:rsidR="00000000" w:rsidRPr="00000000">
        <w:rPr>
          <w:rtl w:val="0"/>
        </w:rPr>
        <w:t xml:space="preserve">6. Ecosistema de Desarrollo (Virtual Environments)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Para garantizar que el proyecto corra igual en todos los entornos (local, Docker, producción), el uso de entornos virtuales es el primer paso de seguridad.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Aislamiento:</w:t>
      </w:r>
      <w:r w:rsidDel="00000000" w:rsidR="00000000" w:rsidRPr="00000000">
        <w:rPr>
          <w:rtl w:val="0"/>
        </w:rPr>
        <w:t xml:space="preserve"> Evita conflictos entre versiones de librerías (ej. una versión de LangChain requerida por el proyecto vs la del sistema).</w:t>
      </w:r>
      <w:r w:rsidDel="00000000" w:rsidR="00000000" w:rsidRPr="00000000">
        <w:rPr>
          <w:b w:val="1"/>
          <w:bCs w:val="1"/>
          <w:rtl w:val="0"/>
        </w:rPr>
        <w:t xml:space="preserve">Reproducibilidad:</w:t>
      </w:r>
      <w:r w:rsidDel="00000000" w:rsidR="00000000" w:rsidRPr="00000000">
        <w:rPr>
          <w:rtl w:val="0"/>
        </w:rPr>
        <w:t xml:space="preserve"> El 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requirements.txt</w:t>
      </w:r>
      <w:r w:rsidDel="00000000" w:rsidR="00000000" w:rsidRPr="00000000">
        <w:rPr>
          <w:rtl w:val="0"/>
        </w:rPr>
        <w:t xml:space="preserve"> es la "receta" exacta de nuestro entorno de trabajo.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Nota final:</w:t>
      </w:r>
      <w:r w:rsidDel="00000000" w:rsidR="00000000" w:rsidRPr="00000000">
        <w:rPr>
          <w:rtl w:val="0"/>
        </w:rPr>
        <w:t xml:space="preserve"> Se recomienda haber completado la lectura de este manual antes de proceder con el Notebook de práctica de la Etapa 1.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1700.7874015748032" w:footer="1700.787401574803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8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9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2076450</wp:posOffset>
          </wp:positionH>
          <wp:positionV relativeFrom="paragraph">
            <wp:posOffset>257175</wp:posOffset>
          </wp:positionV>
          <wp:extent cx="1785938" cy="52609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85938" cy="52609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