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color w:val="1F4E79"/>
          <w:sz w:val="48"/>
        </w:rPr>
        <w:t>Mini-projet GLPI — CY Tech</w:t>
      </w:r>
    </w:p>
    <w:p>
      <w:pPr>
        <w:jc w:val="center"/>
      </w:pPr>
      <w:r>
        <w:rPr>
          <w:b/>
          <w:color w:val="000000"/>
          <w:sz w:val="36"/>
        </w:rPr>
        <w:t>Rapport de projet</w:t>
        <w:br/>
        <w:t>Refonte Oracle de la base de données GLPI</w:t>
      </w:r>
    </w:p>
    <w:p>
      <w:pPr>
        <w:spacing w:before="360"/>
        <w:jc w:val="center"/>
      </w:pPr>
      <w:r>
        <w:rPr>
          <w:sz w:val="26"/>
        </w:rPr>
        <w:t>Gestion du parc informatique multi-sites : Cergy et Pau</w:t>
      </w:r>
    </w:p>
    <w:p>
      <w:pPr>
        <w:spacing w:before="720"/>
        <w:jc w:val="center"/>
      </w:pPr>
      <w:r>
        <w:rPr>
          <w:sz w:val="24"/>
        </w:rPr>
        <w:t>Bases de données avancées — ING2</w:t>
        <w:br/>
        <w:t>Année 2025-2026</w:t>
      </w:r>
    </w:p>
    <w:tbl>
      <w:tblPr>
        <w:tblStyle w:val="TableGrid"/>
        <w:tblW w:type="auto" w:w="0"/>
        <w:jc w:val="center"/>
        <w:tblLook w:firstColumn="1" w:firstRow="1" w:lastColumn="0" w:lastRow="0" w:noHBand="0" w:noVBand="1" w:val="04A0"/>
        <w:tblBorders>
          <w:top w:val="single" w:sz="6" w:space="0" w:color="B7BDC7"/>
          <w:left w:val="single" w:sz="6" w:space="0" w:color="B7BDC7"/>
          <w:bottom w:val="single" w:sz="6" w:space="0" w:color="B7BDC7"/>
          <w:right w:val="single" w:sz="6" w:space="0" w:color="B7BDC7"/>
          <w:insideH w:val="single" w:sz="6" w:space="0" w:color="B7BDC7"/>
          <w:insideV w:val="single" w:sz="6" w:space="0" w:color="B7BDC7"/>
        </w:tblBorders>
      </w:tblPr>
      <w:tblGrid>
        <w:gridCol w:w="4986"/>
        <w:gridCol w:w="4986"/>
      </w:tblGrid>
      <w:tr>
        <w:tc>
          <w:tcPr>
            <w:tcW w:type="dxa" w:w="4986"/>
            <w:shd w:fill="D9EAF7"/>
            <w:vAlign w:val="center"/>
          </w:tcPr>
          <w:p>
            <w:r>
              <w:rPr>
                <w:rFonts w:ascii="Aptos" w:hAnsi="Aptos" w:eastAsia="Aptos"/>
                <w:b/>
                <w:sz w:val="19"/>
              </w:rPr>
              <w:t>Sujet</w:t>
            </w:r>
          </w:p>
        </w:tc>
        <w:tc>
          <w:tcPr>
            <w:tcW w:type="dxa" w:w="4986"/>
            <w:vAlign w:val="center"/>
          </w:tcPr>
          <w:p>
            <w:r>
              <w:rPr>
                <w:rFonts w:ascii="Aptos" w:hAnsi="Aptos" w:eastAsia="Aptos"/>
                <w:sz w:val="19"/>
              </w:rPr>
              <w:t>Repenser une partie de la BDD de GLPI pour améliorer la robustesse, les performances et la gestion multi-sites.</w:t>
            </w:r>
          </w:p>
        </w:tc>
      </w:tr>
      <w:tr>
        <w:tc>
          <w:tcPr>
            <w:tcW w:type="dxa" w:w="4986"/>
            <w:shd w:fill="D9EAF7"/>
            <w:vAlign w:val="center"/>
          </w:tcPr>
          <w:p>
            <w:r>
              <w:rPr>
                <w:rFonts w:ascii="Aptos" w:hAnsi="Aptos" w:eastAsia="Aptos"/>
                <w:b/>
                <w:sz w:val="19"/>
              </w:rPr>
              <w:t>Périmètre</w:t>
            </w:r>
          </w:p>
        </w:tc>
        <w:tc>
          <w:tcPr>
            <w:tcW w:type="dxa" w:w="4986"/>
            <w:vAlign w:val="center"/>
          </w:tcPr>
          <w:p>
            <w:r>
              <w:rPr>
                <w:rFonts w:ascii="Aptos" w:hAnsi="Aptos" w:eastAsia="Aptos"/>
                <w:sz w:val="19"/>
              </w:rPr>
              <w:t>Matériels informatiques, utilisateurs, entités/sites et structure réseau.</w:t>
            </w:r>
          </w:p>
        </w:tc>
      </w:tr>
      <w:tr>
        <w:tc>
          <w:tcPr>
            <w:tcW w:type="dxa" w:w="4986"/>
            <w:shd w:fill="D9EAF7"/>
            <w:vAlign w:val="center"/>
          </w:tcPr>
          <w:p>
            <w:r>
              <w:rPr>
                <w:rFonts w:ascii="Aptos" w:hAnsi="Aptos" w:eastAsia="Aptos"/>
                <w:b/>
                <w:sz w:val="19"/>
              </w:rPr>
              <w:t>Technologies</w:t>
            </w:r>
          </w:p>
        </w:tc>
        <w:tc>
          <w:tcPr>
            <w:tcW w:type="dxa" w:w="4986"/>
            <w:vAlign w:val="center"/>
          </w:tcPr>
          <w:p>
            <w:r>
              <w:rPr>
                <w:rFonts w:ascii="Aptos" w:hAnsi="Aptos" w:eastAsia="Aptos"/>
                <w:sz w:val="19"/>
              </w:rPr>
              <w:t>Oracle SQL, PL/SQL, tablespaces, rôles, clusters, index, vues, vues matérialisées, database links.</w:t>
            </w:r>
          </w:p>
        </w:tc>
      </w:tr>
      <w:tr>
        <w:tc>
          <w:tcPr>
            <w:tcW w:type="dxa" w:w="4986"/>
            <w:shd w:fill="D9EAF7"/>
            <w:vAlign w:val="center"/>
          </w:tcPr>
          <w:p>
            <w:r>
              <w:rPr>
                <w:rFonts w:ascii="Aptos" w:hAnsi="Aptos" w:eastAsia="Aptos"/>
                <w:b/>
                <w:sz w:val="19"/>
              </w:rPr>
              <w:t>Dépôt</w:t>
            </w:r>
          </w:p>
        </w:tc>
        <w:tc>
          <w:tcPr>
            <w:tcW w:type="dxa" w:w="4986"/>
            <w:vAlign w:val="center"/>
          </w:tcPr>
          <w:p>
            <w:r>
              <w:rPr>
                <w:rFonts w:ascii="Aptos" w:hAnsi="Aptos" w:eastAsia="Aptos"/>
                <w:sz w:val="19"/>
              </w:rPr>
              <w:t>https://github.com/Axelctrt/bdd.git</w:t>
            </w:r>
          </w:p>
        </w:tc>
      </w:tr>
    </w:tbl>
    <w:p>
      <w:r>
        <w:br w:type="page"/>
      </w:r>
    </w:p>
    <w:p>
      <w:pPr>
        <w:pStyle w:val="Heading1"/>
      </w:pPr>
      <w:r>
        <w:t>Sommaire</w:t>
      </w:r>
    </w:p>
    <w:p>
      <w:pPr>
        <w:pStyle w:val="ListNumber"/>
      </w:pPr>
      <w:r>
        <w:t>1. Introduction et objectifs du projet</w:t>
      </w:r>
    </w:p>
    <w:p>
      <w:pPr>
        <w:pStyle w:val="ListNumber"/>
      </w:pPr>
      <w:r>
        <w:t>2. Démarche de reverse engineering</w:t>
      </w:r>
    </w:p>
    <w:p>
      <w:pPr>
        <w:pStyle w:val="ListNumber"/>
      </w:pPr>
      <w:r>
        <w:t>3. Limites identifiées dans le modèle GLPI analysé</w:t>
      </w:r>
    </w:p>
    <w:p>
      <w:pPr>
        <w:pStyle w:val="ListNumber"/>
      </w:pPr>
      <w:r>
        <w:t>4. Nouvelle architecture Oracle proposée</w:t>
      </w:r>
    </w:p>
    <w:p>
      <w:pPr>
        <w:pStyle w:val="ListNumber"/>
      </w:pPr>
      <w:r>
        <w:t>5. Modélisation relationnelle, contraintes et types de données</w:t>
      </w:r>
    </w:p>
    <w:p>
      <w:pPr>
        <w:pStyle w:val="ListNumber"/>
      </w:pPr>
      <w:r>
        <w:t>6. Automatisation PL/SQL : triggers, procédures, fonctions et package</w:t>
      </w:r>
    </w:p>
    <w:p>
      <w:pPr>
        <w:pStyle w:val="ListNumber"/>
      </w:pPr>
      <w:r>
        <w:t>7. Vues, vues matérialisées et base de données répartie</w:t>
      </w:r>
    </w:p>
    <w:p>
      <w:pPr>
        <w:pStyle w:val="ListNumber"/>
      </w:pPr>
      <w:r>
        <w:t>8. Optimisation : clusters, index et plans d’exécution</w:t>
      </w:r>
    </w:p>
    <w:p>
      <w:pPr>
        <w:pStyle w:val="ListNumber"/>
      </w:pPr>
      <w:r>
        <w:t>9. Jeu de test et validation des performances</w:t>
      </w:r>
    </w:p>
    <w:p>
      <w:pPr>
        <w:pStyle w:val="ListNumber"/>
      </w:pPr>
      <w:r>
        <w:t>10. Bilan, limites et améliorations possibles</w:t>
      </w:r>
    </w:p>
    <w:p>
      <w:pPr>
        <w:pStyle w:val="ListNumber"/>
      </w:pPr>
      <w:r>
        <w:t>11. Conclusion</w:t>
      </w:r>
    </w:p>
    <w:p>
      <w:pPr>
        <w:spacing w:after="120" w:line="259" w:lineRule="auto"/>
      </w:pPr>
      <w:r>
        <w:t>Ce sommaire est statique afin de conserver une mise en page stable dans un document modifiable. Les titres principaux reprennent les attendus du sujet et l’ordre d’exécution des scripts du dépôt.</w:t>
      </w:r>
    </w:p>
    <w:p>
      <w:r>
        <w:br w:type="page"/>
      </w:r>
    </w:p>
    <w:p>
      <w:pPr>
        <w:pStyle w:val="Heading1"/>
      </w:pPr>
      <w:r>
        <w:t>1. Introduction et objectifs du projet</w:t>
      </w:r>
    </w:p>
    <w:p>
      <w:pPr>
        <w:spacing w:after="120" w:line="259" w:lineRule="auto"/>
      </w:pPr>
      <w:r>
        <w:t>Le projet porte sur la refonte d’une partie de la base de données de GLPI, outil de gestion de parc informatique, dans le contexte du parc de CY Tech réparti sur deux sites : Cergy et Pau. L’objectif n’est pas de reproduire l’ensemble de GLPI, qui est un logiciel complet couvrant de nombreuses fonctionnalités, mais de retravailler un périmètre cohérent : les matériels informatiques, les utilisateurs, les entités organisationnelles et les informations liées au réseau.</w:t>
      </w:r>
    </w:p>
    <w:p>
      <w:pPr>
        <w:spacing w:after="120" w:line="259" w:lineRule="auto"/>
      </w:pPr>
      <w:r>
        <w:t>Le sujet impose de mobiliser les principales notions de bases de données avancées : utilisateurs, rôles, tablespaces, clusters, index, vues, PL/SQL, bases de données réparties et analyse de plans d’exécution. Le livrable doit donc montrer à la fois une démarche de conception, une implémentation technique et une validation par des tests de performance.</w:t>
      </w:r>
    </w:p>
    <w:p>
      <w:pPr>
        <w:spacing w:after="120" w:line="259" w:lineRule="auto"/>
      </w:pPr>
      <w:r>
        <w:t>La démarche suivie dans ce projet est volontairement structurée autour d’un axe simple : partir des limites du modèle GLPI analysé, proposer une architecture Oracle plus robuste, puis démontrer concrètement les apports par les scripts SQL et PL/SQL. Le dépôt est organisé dans cet ordre : reverse engineering, création des tablespaces et rôles, DDL des tables, vues, PL/SQL, jeu de test et tests de performance.</w:t>
      </w:r>
    </w:p>
    <w:tbl>
      <w:tblPr>
        <w:tblStyle w:val="TableGrid"/>
        <w:tblW w:type="auto" w:w="0"/>
        <w:jc w:val="center"/>
        <w:tblLook w:firstColumn="1" w:firstRow="1" w:lastColumn="0" w:lastRow="0" w:noHBand="0" w:noVBand="1" w:val="04A0"/>
        <w:tblBorders>
          <w:top w:val="single" w:sz="6" w:space="0" w:color="B7BDC7"/>
          <w:left w:val="single" w:sz="6" w:space="0" w:color="B7BDC7"/>
          <w:bottom w:val="single" w:sz="6" w:space="0" w:color="B7BDC7"/>
          <w:right w:val="single" w:sz="6" w:space="0" w:color="B7BDC7"/>
          <w:insideH w:val="single" w:sz="6" w:space="0" w:color="B7BDC7"/>
          <w:insideV w:val="single" w:sz="6" w:space="0" w:color="B7BDC7"/>
        </w:tblBorders>
      </w:tblPr>
      <w:tblGrid>
        <w:gridCol w:w="4986"/>
        <w:gridCol w:w="4986"/>
      </w:tblGrid>
      <w:tr>
        <w:tc>
          <w:tcPr>
            <w:tcW w:type="dxa" w:w="4986"/>
            <w:shd w:fill="1F4E79"/>
          </w:tcPr>
          <w:p>
            <w:r>
              <w:rPr>
                <w:rFonts w:ascii="Aptos" w:hAnsi="Aptos" w:eastAsia="Aptos"/>
                <w:b/>
                <w:color w:val="FFFFFF"/>
                <w:sz w:val="19"/>
              </w:rPr>
              <w:t>Élément</w:t>
            </w:r>
          </w:p>
        </w:tc>
        <w:tc>
          <w:tcPr>
            <w:tcW w:type="dxa" w:w="4986"/>
            <w:shd w:fill="1F4E79"/>
          </w:tcPr>
          <w:p>
            <w:r>
              <w:rPr>
                <w:rFonts w:ascii="Aptos" w:hAnsi="Aptos" w:eastAsia="Aptos"/>
                <w:b/>
                <w:color w:val="FFFFFF"/>
                <w:sz w:val="19"/>
              </w:rPr>
              <w:t>Choix retenu</w:t>
            </w:r>
          </w:p>
        </w:tc>
      </w:tr>
      <w:tr>
        <w:tc>
          <w:tcPr>
            <w:tcW w:type="dxa" w:w="4986"/>
            <w:vAlign w:val="top"/>
          </w:tcPr>
          <w:p>
            <w:r>
              <w:rPr>
                <w:rFonts w:ascii="Aptos" w:hAnsi="Aptos" w:eastAsia="Aptos"/>
                <w:sz w:val="19"/>
              </w:rPr>
              <w:t>SGBD cible</w:t>
            </w:r>
          </w:p>
        </w:tc>
        <w:tc>
          <w:tcPr>
            <w:tcW w:type="dxa" w:w="4986"/>
            <w:vAlign w:val="top"/>
          </w:tcPr>
          <w:p>
            <w:r>
              <w:rPr>
                <w:rFonts w:ascii="Aptos" w:hAnsi="Aptos" w:eastAsia="Aptos"/>
                <w:sz w:val="19"/>
              </w:rPr>
              <w:t>Oracle Database</w:t>
            </w:r>
          </w:p>
        </w:tc>
      </w:tr>
      <w:tr>
        <w:tc>
          <w:tcPr>
            <w:tcW w:type="dxa" w:w="4986"/>
            <w:vAlign w:val="top"/>
          </w:tcPr>
          <w:p>
            <w:r>
              <w:rPr>
                <w:rFonts w:ascii="Aptos" w:hAnsi="Aptos" w:eastAsia="Aptos"/>
                <w:sz w:val="19"/>
              </w:rPr>
              <w:t>Périmètre métier</w:t>
            </w:r>
          </w:p>
        </w:tc>
        <w:tc>
          <w:tcPr>
            <w:tcW w:type="dxa" w:w="4986"/>
            <w:vAlign w:val="top"/>
          </w:tcPr>
          <w:p>
            <w:r>
              <w:rPr>
                <w:rFonts w:ascii="Aptos" w:hAnsi="Aptos" w:eastAsia="Aptos"/>
                <w:sz w:val="19"/>
              </w:rPr>
              <w:t>Matériels, utilisateurs, sites, réseau</w:t>
            </w:r>
          </w:p>
        </w:tc>
      </w:tr>
      <w:tr>
        <w:tc>
          <w:tcPr>
            <w:tcW w:type="dxa" w:w="4986"/>
            <w:vAlign w:val="top"/>
          </w:tcPr>
          <w:p>
            <w:r>
              <w:rPr>
                <w:rFonts w:ascii="Aptos" w:hAnsi="Aptos" w:eastAsia="Aptos"/>
                <w:sz w:val="19"/>
              </w:rPr>
              <w:t>Sites traités</w:t>
            </w:r>
          </w:p>
        </w:tc>
        <w:tc>
          <w:tcPr>
            <w:tcW w:type="dxa" w:w="4986"/>
            <w:vAlign w:val="top"/>
          </w:tcPr>
          <w:p>
            <w:r>
              <w:rPr>
                <w:rFonts w:ascii="Aptos" w:hAnsi="Aptos" w:eastAsia="Aptos"/>
                <w:sz w:val="19"/>
              </w:rPr>
              <w:t>Cergy et Pau</w:t>
            </w:r>
          </w:p>
        </w:tc>
      </w:tr>
      <w:tr>
        <w:tc>
          <w:tcPr>
            <w:tcW w:type="dxa" w:w="4986"/>
            <w:vAlign w:val="top"/>
          </w:tcPr>
          <w:p>
            <w:r>
              <w:rPr>
                <w:rFonts w:ascii="Aptos" w:hAnsi="Aptos" w:eastAsia="Aptos"/>
                <w:sz w:val="19"/>
              </w:rPr>
              <w:t>Objectif principal</w:t>
            </w:r>
          </w:p>
        </w:tc>
        <w:tc>
          <w:tcPr>
            <w:tcW w:type="dxa" w:w="4986"/>
            <w:vAlign w:val="top"/>
          </w:tcPr>
          <w:p>
            <w:r>
              <w:rPr>
                <w:rFonts w:ascii="Aptos" w:hAnsi="Aptos" w:eastAsia="Aptos"/>
                <w:sz w:val="19"/>
              </w:rPr>
              <w:t>Robustesse, maintenabilité, gestion multi-sites et optimisation des requêtes</w:t>
            </w:r>
          </w:p>
        </w:tc>
      </w:tr>
      <w:tr>
        <w:tc>
          <w:tcPr>
            <w:tcW w:type="dxa" w:w="4986"/>
            <w:vAlign w:val="top"/>
          </w:tcPr>
          <w:p>
            <w:r>
              <w:rPr>
                <w:rFonts w:ascii="Aptos" w:hAnsi="Aptos" w:eastAsia="Aptos"/>
                <w:sz w:val="19"/>
              </w:rPr>
              <w:t>Validation</w:t>
            </w:r>
          </w:p>
        </w:tc>
        <w:tc>
          <w:tcPr>
            <w:tcW w:type="dxa" w:w="4986"/>
            <w:vAlign w:val="top"/>
          </w:tcPr>
          <w:p>
            <w:r>
              <w:rPr>
                <w:rFonts w:ascii="Aptos" w:hAnsi="Aptos" w:eastAsia="Aptos"/>
                <w:sz w:val="19"/>
              </w:rPr>
              <w:t>Jeu de test généré en PL/SQL et analyse avec EXPLAIN PLAN / DBMS_XPLAN</w:t>
            </w:r>
          </w:p>
        </w:tc>
      </w:tr>
    </w:tbl>
    <w:p>
      <w:pPr>
        <w:pStyle w:val="Heading1"/>
      </w:pPr>
      <w:r>
        <w:t>2. Démarche de reverse engineering</w:t>
      </w:r>
    </w:p>
    <w:p>
      <w:pPr>
        <w:spacing w:after="120" w:line="259" w:lineRule="auto"/>
      </w:pPr>
      <w:r>
        <w:t>La première étape du projet consiste à analyser le schéma GLPI existant. Cette étape est essentielle car elle justifie les choix effectués ensuite dans la nouvelle base Oracle. Le reverse engineering ne sert donc pas seulement à lister les tables, mais à comprendre les limites du modèle initial et à définir les axes d’amélioration.</w:t>
      </w:r>
    </w:p>
    <w:p>
      <w:pPr>
        <w:spacing w:after="120" w:line="259" w:lineRule="auto"/>
      </w:pPr>
      <w:r>
        <w:t>Le fichier 01_reverse_engineering.sql documente cette analyse. Le périmètre retenu se concentre sur les tables liées aux entités, utilisateurs, ordinateurs, équipements réseau, ports réseau, adresses IP, sous-réseaux, VLANs et composants mémoire. Ces éléments couvrent le cœur du besoin demandé : gérer un parc informatique multi-sites avec des informations matérielles et réseau.</w:t>
      </w:r>
    </w:p>
    <w:p>
      <w:pPr>
        <w:spacing w:after="120" w:line="259" w:lineRule="auto"/>
      </w:pPr>
      <w:r>
        <w:t>Les tables GLPI analysées montrent une logique très orientée application. Dans le modèle étudié, de nombreuses relations sont portées par des colonnes d’identifiants sans contrainte de clé étrangère au niveau de la base. Cette approche peut fonctionner si l’application contrôle parfaitement toutes les opérations, mais elle fragilise la cohérence dès qu’une suppression, une insertion ou une modification est mal gérée.</w:t>
      </w:r>
    </w:p>
    <w:tbl>
      <w:tblPr>
        <w:tblStyle w:val="TableGrid"/>
        <w:tblW w:type="auto" w:w="0"/>
        <w:jc w:val="center"/>
        <w:tblLook w:firstColumn="1" w:firstRow="1" w:lastColumn="0" w:lastRow="0" w:noHBand="0" w:noVBand="1" w:val="04A0"/>
        <w:tblBorders>
          <w:top w:val="single" w:sz="6" w:space="0" w:color="B7BDC7"/>
          <w:left w:val="single" w:sz="6" w:space="0" w:color="B7BDC7"/>
          <w:bottom w:val="single" w:sz="6" w:space="0" w:color="B7BDC7"/>
          <w:right w:val="single" w:sz="6" w:space="0" w:color="B7BDC7"/>
          <w:insideH w:val="single" w:sz="6" w:space="0" w:color="B7BDC7"/>
          <w:insideV w:val="single" w:sz="6" w:space="0" w:color="B7BDC7"/>
        </w:tblBorders>
      </w:tblPr>
      <w:tblGrid>
        <w:gridCol w:w="4986"/>
        <w:gridCol w:w="4986"/>
      </w:tblGrid>
      <w:tr>
        <w:tc>
          <w:tcPr>
            <w:tcW w:type="dxa" w:w="4986"/>
            <w:shd w:fill="1F4E79"/>
          </w:tcPr>
          <w:p>
            <w:r>
              <w:rPr>
                <w:rFonts w:ascii="Aptos" w:hAnsi="Aptos" w:eastAsia="Aptos"/>
                <w:b/>
                <w:color w:val="FFFFFF"/>
                <w:sz w:val="19"/>
              </w:rPr>
              <w:t>Table GLPI étudiée</w:t>
            </w:r>
          </w:p>
        </w:tc>
        <w:tc>
          <w:tcPr>
            <w:tcW w:type="dxa" w:w="4986"/>
            <w:shd w:fill="1F4E79"/>
          </w:tcPr>
          <w:p>
            <w:r>
              <w:rPr>
                <w:rFonts w:ascii="Aptos" w:hAnsi="Aptos" w:eastAsia="Aptos"/>
                <w:b/>
                <w:color w:val="FFFFFF"/>
                <w:sz w:val="19"/>
              </w:rPr>
              <w:t>Rôle dans le périmètre</w:t>
            </w:r>
          </w:p>
        </w:tc>
      </w:tr>
      <w:tr>
        <w:tc>
          <w:tcPr>
            <w:tcW w:type="dxa" w:w="4986"/>
            <w:vAlign w:val="top"/>
          </w:tcPr>
          <w:p>
            <w:r>
              <w:rPr>
                <w:rFonts w:ascii="Aptos" w:hAnsi="Aptos" w:eastAsia="Aptos"/>
                <w:sz w:val="19"/>
              </w:rPr>
              <w:t>glpi_entities</w:t>
            </w:r>
          </w:p>
        </w:tc>
        <w:tc>
          <w:tcPr>
            <w:tcW w:type="dxa" w:w="4986"/>
            <w:vAlign w:val="top"/>
          </w:tcPr>
          <w:p>
            <w:r>
              <w:rPr>
                <w:rFonts w:ascii="Aptos" w:hAnsi="Aptos" w:eastAsia="Aptos"/>
                <w:sz w:val="19"/>
              </w:rPr>
              <w:t>Sites et entités organisationnelles, notamment Cergy et Pau</w:t>
            </w:r>
          </w:p>
        </w:tc>
      </w:tr>
      <w:tr>
        <w:tc>
          <w:tcPr>
            <w:tcW w:type="dxa" w:w="4986"/>
            <w:vAlign w:val="top"/>
          </w:tcPr>
          <w:p>
            <w:r>
              <w:rPr>
                <w:rFonts w:ascii="Aptos" w:hAnsi="Aptos" w:eastAsia="Aptos"/>
                <w:sz w:val="19"/>
              </w:rPr>
              <w:t>glpi_users</w:t>
            </w:r>
          </w:p>
        </w:tc>
        <w:tc>
          <w:tcPr>
            <w:tcW w:type="dxa" w:w="4986"/>
            <w:vAlign w:val="top"/>
          </w:tcPr>
          <w:p>
            <w:r>
              <w:rPr>
                <w:rFonts w:ascii="Aptos" w:hAnsi="Aptos" w:eastAsia="Aptos"/>
                <w:sz w:val="19"/>
              </w:rPr>
              <w:t>Utilisateurs, informations de connexion et rattachement à une entité</w:t>
            </w:r>
          </w:p>
        </w:tc>
      </w:tr>
      <w:tr>
        <w:tc>
          <w:tcPr>
            <w:tcW w:type="dxa" w:w="4986"/>
            <w:vAlign w:val="top"/>
          </w:tcPr>
          <w:p>
            <w:r>
              <w:rPr>
                <w:rFonts w:ascii="Aptos" w:hAnsi="Aptos" w:eastAsia="Aptos"/>
                <w:sz w:val="19"/>
              </w:rPr>
              <w:t>glpi_computers</w:t>
            </w:r>
          </w:p>
        </w:tc>
        <w:tc>
          <w:tcPr>
            <w:tcW w:type="dxa" w:w="4986"/>
            <w:vAlign w:val="top"/>
          </w:tcPr>
          <w:p>
            <w:r>
              <w:rPr>
                <w:rFonts w:ascii="Aptos" w:hAnsi="Aptos" w:eastAsia="Aptos"/>
                <w:sz w:val="19"/>
              </w:rPr>
              <w:t>Ordinateurs du parc informatique</w:t>
            </w:r>
          </w:p>
        </w:tc>
      </w:tr>
      <w:tr>
        <w:tc>
          <w:tcPr>
            <w:tcW w:type="dxa" w:w="4986"/>
            <w:vAlign w:val="top"/>
          </w:tcPr>
          <w:p>
            <w:r>
              <w:rPr>
                <w:rFonts w:ascii="Aptos" w:hAnsi="Aptos" w:eastAsia="Aptos"/>
                <w:sz w:val="19"/>
              </w:rPr>
              <w:t>glpi_networkequipments</w:t>
            </w:r>
          </w:p>
        </w:tc>
        <w:tc>
          <w:tcPr>
            <w:tcW w:type="dxa" w:w="4986"/>
            <w:vAlign w:val="top"/>
          </w:tcPr>
          <w:p>
            <w:r>
              <w:rPr>
                <w:rFonts w:ascii="Aptos" w:hAnsi="Aptos" w:eastAsia="Aptos"/>
                <w:sz w:val="19"/>
              </w:rPr>
              <w:t>Switchs, routeurs, bornes Wi-Fi et autres équipements réseau</w:t>
            </w:r>
          </w:p>
        </w:tc>
      </w:tr>
      <w:tr>
        <w:tc>
          <w:tcPr>
            <w:tcW w:type="dxa" w:w="4986"/>
            <w:vAlign w:val="top"/>
          </w:tcPr>
          <w:p>
            <w:r>
              <w:rPr>
                <w:rFonts w:ascii="Aptos" w:hAnsi="Aptos" w:eastAsia="Aptos"/>
                <w:sz w:val="19"/>
              </w:rPr>
              <w:t>glpi_networkports</w:t>
            </w:r>
          </w:p>
        </w:tc>
        <w:tc>
          <w:tcPr>
            <w:tcW w:type="dxa" w:w="4986"/>
            <w:vAlign w:val="top"/>
          </w:tcPr>
          <w:p>
            <w:r>
              <w:rPr>
                <w:rFonts w:ascii="Aptos" w:hAnsi="Aptos" w:eastAsia="Aptos"/>
                <w:sz w:val="19"/>
              </w:rPr>
              <w:t>Ports réseau rattachés aux ordinateurs ou équipements</w:t>
            </w:r>
          </w:p>
        </w:tc>
      </w:tr>
      <w:tr>
        <w:tc>
          <w:tcPr>
            <w:tcW w:type="dxa" w:w="4986"/>
            <w:vAlign w:val="top"/>
          </w:tcPr>
          <w:p>
            <w:r>
              <w:rPr>
                <w:rFonts w:ascii="Aptos" w:hAnsi="Aptos" w:eastAsia="Aptos"/>
                <w:sz w:val="19"/>
              </w:rPr>
              <w:t>glpi_ipaddresses / glpi_ipnetworks</w:t>
            </w:r>
          </w:p>
        </w:tc>
        <w:tc>
          <w:tcPr>
            <w:tcW w:type="dxa" w:w="4986"/>
            <w:vAlign w:val="top"/>
          </w:tcPr>
          <w:p>
            <w:r>
              <w:rPr>
                <w:rFonts w:ascii="Aptos" w:hAnsi="Aptos" w:eastAsia="Aptos"/>
                <w:sz w:val="19"/>
              </w:rPr>
              <w:t>Adresses IP et sous-réseaux</w:t>
            </w:r>
          </w:p>
        </w:tc>
      </w:tr>
      <w:tr>
        <w:tc>
          <w:tcPr>
            <w:tcW w:type="dxa" w:w="4986"/>
            <w:vAlign w:val="top"/>
          </w:tcPr>
          <w:p>
            <w:r>
              <w:rPr>
                <w:rFonts w:ascii="Aptos" w:hAnsi="Aptos" w:eastAsia="Aptos"/>
                <w:sz w:val="19"/>
              </w:rPr>
              <w:t>glpi_items_devicememories</w:t>
            </w:r>
          </w:p>
        </w:tc>
        <w:tc>
          <w:tcPr>
            <w:tcW w:type="dxa" w:w="4986"/>
            <w:vAlign w:val="top"/>
          </w:tcPr>
          <w:p>
            <w:r>
              <w:rPr>
                <w:rFonts w:ascii="Aptos" w:hAnsi="Aptos" w:eastAsia="Aptos"/>
                <w:sz w:val="19"/>
              </w:rPr>
              <w:t>Modules mémoire associés aux machines</w:t>
            </w:r>
          </w:p>
        </w:tc>
      </w:tr>
    </w:tbl>
    <w:p>
      <w:pPr>
        <w:pStyle w:val="Heading1"/>
      </w:pPr>
      <w:r>
        <w:t>3. Limites identifiées dans le modèle GLPI analysé</w:t>
      </w:r>
    </w:p>
    <w:p>
      <w:pPr>
        <w:spacing w:after="120" w:line="259" w:lineRule="auto"/>
      </w:pPr>
      <w:r>
        <w:t>L’analyse fait ressortir plusieurs limites structurelles. La première concerne l’intégrité référentielle. Dans le modèle analysé, les relations entre les tables sont principalement gérées par le code applicatif. Une base de données robuste doit pourtant pouvoir garantir elle-même les relations essentielles entre les entités, les utilisateurs, les machines et leurs composants.</w:t>
      </w:r>
    </w:p>
    <w:p>
      <w:pPr>
        <w:spacing w:after="120" w:line="259" w:lineRule="auto"/>
      </w:pPr>
      <w:r>
        <w:t>La deuxième limite concerne la gestion multi-sites. GLPI distingue les entités à l’aide d’une colonne entities_id, ce qui permet une séparation logique. Cependant, cette approche ne correspond pas à une vraie séparation physique des données entre Cergy et Pau. Pour un projet centré sur les bases de données réparties, il fallait aller plus loin : isoler les données par site et prévoir une logique d’accès inter-sites.</w:t>
      </w:r>
    </w:p>
    <w:p>
      <w:pPr>
        <w:spacing w:after="120" w:line="259" w:lineRule="auto"/>
      </w:pPr>
      <w:r>
        <w:t>La troisième limite concerne l’exploitation des mécanismes avancés du SGBD. Le modèle initial repose surtout sur la logique applicative. Il n’exploite pas directement les concepts demandés dans le sujet : tablespaces, rôles Oracle, triggers, procédures, fonctions, vues matérialisées, database links ou plans de requêtes. Le projet consiste donc à déplacer une partie de la robustesse vers la base elle-même.</w:t>
      </w:r>
    </w:p>
    <w:tbl>
      <w:tblPr>
        <w:tblStyle w:val="TableGrid"/>
        <w:tblW w:type="auto" w:w="0"/>
        <w:jc w:val="center"/>
        <w:tblLook w:firstColumn="1" w:firstRow="1" w:lastColumn="0" w:lastRow="0" w:noHBand="0" w:noVBand="1" w:val="04A0"/>
        <w:tblBorders>
          <w:top w:val="single" w:sz="6" w:space="0" w:color="B7BDC7"/>
          <w:left w:val="single" w:sz="6" w:space="0" w:color="B7BDC7"/>
          <w:bottom w:val="single" w:sz="6" w:space="0" w:color="B7BDC7"/>
          <w:right w:val="single" w:sz="6" w:space="0" w:color="B7BDC7"/>
          <w:insideH w:val="single" w:sz="6" w:space="0" w:color="B7BDC7"/>
          <w:insideV w:val="single" w:sz="6" w:space="0" w:color="B7BDC7"/>
        </w:tblBorders>
      </w:tblPr>
      <w:tblGrid>
        <w:gridCol w:w="3324"/>
        <w:gridCol w:w="3324"/>
        <w:gridCol w:w="3324"/>
      </w:tblGrid>
      <w:tr>
        <w:tc>
          <w:tcPr>
            <w:tcW w:type="dxa" w:w="3324"/>
            <w:shd w:fill="1F4E79"/>
          </w:tcPr>
          <w:p>
            <w:r>
              <w:rPr>
                <w:rFonts w:ascii="Aptos" w:hAnsi="Aptos" w:eastAsia="Aptos"/>
                <w:b/>
                <w:color w:val="FFFFFF"/>
                <w:sz w:val="19"/>
              </w:rPr>
              <w:t>Limite constatée</w:t>
            </w:r>
          </w:p>
        </w:tc>
        <w:tc>
          <w:tcPr>
            <w:tcW w:type="dxa" w:w="3324"/>
            <w:shd w:fill="1F4E79"/>
          </w:tcPr>
          <w:p>
            <w:r>
              <w:rPr>
                <w:rFonts w:ascii="Aptos" w:hAnsi="Aptos" w:eastAsia="Aptos"/>
                <w:b/>
                <w:color w:val="FFFFFF"/>
                <w:sz w:val="19"/>
              </w:rPr>
              <w:t>Conséquence</w:t>
            </w:r>
          </w:p>
        </w:tc>
        <w:tc>
          <w:tcPr>
            <w:tcW w:type="dxa" w:w="3324"/>
            <w:shd w:fill="1F4E79"/>
          </w:tcPr>
          <w:p>
            <w:r>
              <w:rPr>
                <w:rFonts w:ascii="Aptos" w:hAnsi="Aptos" w:eastAsia="Aptos"/>
                <w:b/>
                <w:color w:val="FFFFFF"/>
                <w:sz w:val="19"/>
              </w:rPr>
              <w:t>Réponse proposée</w:t>
            </w:r>
          </w:p>
        </w:tc>
      </w:tr>
      <w:tr>
        <w:tc>
          <w:tcPr>
            <w:tcW w:type="dxa" w:w="3324"/>
            <w:vAlign w:val="top"/>
          </w:tcPr>
          <w:p>
            <w:r>
              <w:rPr>
                <w:rFonts w:ascii="Aptos" w:hAnsi="Aptos" w:eastAsia="Aptos"/>
                <w:sz w:val="19"/>
              </w:rPr>
              <w:t>Absence de vraies clés étrangères</w:t>
            </w:r>
          </w:p>
        </w:tc>
        <w:tc>
          <w:tcPr>
            <w:tcW w:type="dxa" w:w="3324"/>
            <w:vAlign w:val="top"/>
          </w:tcPr>
          <w:p>
            <w:r>
              <w:rPr>
                <w:rFonts w:ascii="Aptos" w:hAnsi="Aptos" w:eastAsia="Aptos"/>
                <w:sz w:val="19"/>
              </w:rPr>
              <w:t>Risque de données orphelines</w:t>
            </w:r>
          </w:p>
        </w:tc>
        <w:tc>
          <w:tcPr>
            <w:tcW w:type="dxa" w:w="3324"/>
            <w:vAlign w:val="top"/>
          </w:tcPr>
          <w:p>
            <w:r>
              <w:rPr>
                <w:rFonts w:ascii="Aptos" w:hAnsi="Aptos" w:eastAsia="Aptos"/>
                <w:sz w:val="19"/>
              </w:rPr>
              <w:t>Contraintes FOREIGN KEY et règles de suppression contrôlées</w:t>
            </w:r>
          </w:p>
        </w:tc>
      </w:tr>
      <w:tr>
        <w:tc>
          <w:tcPr>
            <w:tcW w:type="dxa" w:w="3324"/>
            <w:vAlign w:val="top"/>
          </w:tcPr>
          <w:p>
            <w:r>
              <w:rPr>
                <w:rFonts w:ascii="Aptos" w:hAnsi="Aptos" w:eastAsia="Aptos"/>
                <w:sz w:val="19"/>
              </w:rPr>
              <w:t>Gestion multi-sites logique uniquement</w:t>
            </w:r>
          </w:p>
        </w:tc>
        <w:tc>
          <w:tcPr>
            <w:tcW w:type="dxa" w:w="3324"/>
            <w:vAlign w:val="top"/>
          </w:tcPr>
          <w:p>
            <w:r>
              <w:rPr>
                <w:rFonts w:ascii="Aptos" w:hAnsi="Aptos" w:eastAsia="Aptos"/>
                <w:sz w:val="19"/>
              </w:rPr>
              <w:t>Pas d’isolation physique Cergy/Pau</w:t>
            </w:r>
          </w:p>
        </w:tc>
        <w:tc>
          <w:tcPr>
            <w:tcW w:type="dxa" w:w="3324"/>
            <w:vAlign w:val="top"/>
          </w:tcPr>
          <w:p>
            <w:r>
              <w:rPr>
                <w:rFonts w:ascii="Aptos" w:hAnsi="Aptos" w:eastAsia="Aptos"/>
                <w:sz w:val="19"/>
              </w:rPr>
              <w:t>Tables et tablespaces séparés par site</w:t>
            </w:r>
          </w:p>
        </w:tc>
      </w:tr>
      <w:tr>
        <w:tc>
          <w:tcPr>
            <w:tcW w:type="dxa" w:w="3324"/>
            <w:vAlign w:val="top"/>
          </w:tcPr>
          <w:p>
            <w:r>
              <w:rPr>
                <w:rFonts w:ascii="Aptos" w:hAnsi="Aptos" w:eastAsia="Aptos"/>
                <w:sz w:val="19"/>
              </w:rPr>
              <w:t>Types parfois imprécis</w:t>
            </w:r>
          </w:p>
        </w:tc>
        <w:tc>
          <w:tcPr>
            <w:tcW w:type="dxa" w:w="3324"/>
            <w:vAlign w:val="top"/>
          </w:tcPr>
          <w:p>
            <w:r>
              <w:rPr>
                <w:rFonts w:ascii="Aptos" w:hAnsi="Aptos" w:eastAsia="Aptos"/>
                <w:sz w:val="19"/>
              </w:rPr>
              <w:t>Contrôles difficiles sur RAM, fréquence, dates</w:t>
            </w:r>
          </w:p>
        </w:tc>
        <w:tc>
          <w:tcPr>
            <w:tcW w:type="dxa" w:w="3324"/>
            <w:vAlign w:val="top"/>
          </w:tcPr>
          <w:p>
            <w:r>
              <w:rPr>
                <w:rFonts w:ascii="Aptos" w:hAnsi="Aptos" w:eastAsia="Aptos"/>
                <w:sz w:val="19"/>
              </w:rPr>
              <w:t>NUMBER, DATE, VARCHAR2 et contraintes CHECK</w:t>
            </w:r>
          </w:p>
        </w:tc>
      </w:tr>
      <w:tr>
        <w:tc>
          <w:tcPr>
            <w:tcW w:type="dxa" w:w="3324"/>
            <w:vAlign w:val="top"/>
          </w:tcPr>
          <w:p>
            <w:r>
              <w:rPr>
                <w:rFonts w:ascii="Aptos" w:hAnsi="Aptos" w:eastAsia="Aptos"/>
                <w:sz w:val="19"/>
              </w:rPr>
              <w:t>Peu d’automatisation en base</w:t>
            </w:r>
          </w:p>
        </w:tc>
        <w:tc>
          <w:tcPr>
            <w:tcW w:type="dxa" w:w="3324"/>
            <w:vAlign w:val="top"/>
          </w:tcPr>
          <w:p>
            <w:r>
              <w:rPr>
                <w:rFonts w:ascii="Aptos" w:hAnsi="Aptos" w:eastAsia="Aptos"/>
                <w:sz w:val="19"/>
              </w:rPr>
              <w:t>Logique métier dépendante de l’application</w:t>
            </w:r>
          </w:p>
        </w:tc>
        <w:tc>
          <w:tcPr>
            <w:tcW w:type="dxa" w:w="3324"/>
            <w:vAlign w:val="top"/>
          </w:tcPr>
          <w:p>
            <w:r>
              <w:rPr>
                <w:rFonts w:ascii="Aptos" w:hAnsi="Aptos" w:eastAsia="Aptos"/>
                <w:sz w:val="19"/>
              </w:rPr>
              <w:t>Triggers, procédures, fonctions et package PL/SQL</w:t>
            </w:r>
          </w:p>
        </w:tc>
      </w:tr>
      <w:tr>
        <w:tc>
          <w:tcPr>
            <w:tcW w:type="dxa" w:w="3324"/>
            <w:vAlign w:val="top"/>
          </w:tcPr>
          <w:p>
            <w:r>
              <w:rPr>
                <w:rFonts w:ascii="Aptos" w:hAnsi="Aptos" w:eastAsia="Aptos"/>
                <w:sz w:val="19"/>
              </w:rPr>
              <w:t>Accès globaux coûteux</w:t>
            </w:r>
          </w:p>
        </w:tc>
        <w:tc>
          <w:tcPr>
            <w:tcW w:type="dxa" w:w="3324"/>
            <w:vAlign w:val="top"/>
          </w:tcPr>
          <w:p>
            <w:r>
              <w:rPr>
                <w:rFonts w:ascii="Aptos" w:hAnsi="Aptos" w:eastAsia="Aptos"/>
                <w:sz w:val="19"/>
              </w:rPr>
              <w:t>Requêtes multi-sites potentiellement lourdes</w:t>
            </w:r>
          </w:p>
        </w:tc>
        <w:tc>
          <w:tcPr>
            <w:tcW w:type="dxa" w:w="3324"/>
            <w:vAlign w:val="top"/>
          </w:tcPr>
          <w:p>
            <w:r>
              <w:rPr>
                <w:rFonts w:ascii="Aptos" w:hAnsi="Aptos" w:eastAsia="Aptos"/>
                <w:sz w:val="19"/>
              </w:rPr>
              <w:t>Vues classiques et vues matérialisées</w:t>
            </w:r>
          </w:p>
        </w:tc>
      </w:tr>
    </w:tbl>
    <w:p>
      <w:pPr>
        <w:pStyle w:val="Heading1"/>
      </w:pPr>
      <w:r>
        <w:t>4. Nouvelle architecture Oracle proposée</w:t>
      </w:r>
    </w:p>
    <w:p>
      <w:pPr>
        <w:spacing w:after="120" w:line="259" w:lineRule="auto"/>
      </w:pPr>
      <w:r>
        <w:t>La nouvelle architecture s’appuie sur Oracle afin de mettre en œuvre les concepts avancés du cours. L’organisation générale repose sur sept tablespaces dédiés. Deux tablespaces sont réservés aux matériels des deux sites : TS_MATERIELS_CERGY et TS_MATERIELS_PAU. Les autres tablespaces séparent les utilisateurs, le réseau, les index, l’audit et les vues matérialisées.</w:t>
      </w:r>
    </w:p>
    <w:p>
      <w:pPr>
        <w:spacing w:after="120" w:line="259" w:lineRule="auto"/>
      </w:pPr>
      <w:r>
        <w:t>Cette séparation n’est pas uniquement esthétique. Elle permet de mieux administrer la base, d’isoler les volumes par domaine, d’anticiper les sauvegardes ciblées et de montrer une vraie logique multi-sites. Dans une architecture réelle, ce type d’organisation facilite également la supervision de l’espace disque et la maintenance des objets les plus volumineux.</w:t>
      </w:r>
    </w:p>
    <w:p>
      <w:pPr>
        <w:spacing w:after="120" w:line="259" w:lineRule="auto"/>
      </w:pPr>
      <w:r>
        <w:t>La sécurité est également renforcée par des rôles Oracle. Le projet définit un rôle administrateur, un rôle technicien, un rôle responsable de site, un rôle utilisateur en lecture seule et un rôle auditeur. Cette approche ajoute une couche de gouvernance côté SGBD, en complément de la sécurité applicative. Un profil de sécurité GLPI_SECURITE encadre les connexions avec un verrouillage après plusieurs tentatives échouées et une durée de vie du mot de passe.</w:t>
      </w:r>
    </w:p>
    <w:p>
      <w:pPr>
        <w:pStyle w:val="CodeBlock"/>
        <w:keepLines/>
        <w:shd w:fill="F3F6FA"/>
      </w:pPr>
      <w:r>
        <w:t>CREATE ROLE ROLE_ADMIN_GLPI;</w:t>
        <w:br/>
        <w:t>CREATE ROLE ROLE_TECHNICIEN;</w:t>
        <w:br/>
        <w:t>CREATE ROLE ROLE_RESP_SITE;</w:t>
        <w:br/>
        <w:t>CREATE ROLE ROLE_UTILISATEUR;</w:t>
        <w:br/>
        <w:t>CREATE ROLE ROLE_AUDITEUR;</w:t>
      </w:r>
    </w:p>
    <w:tbl>
      <w:tblPr>
        <w:tblStyle w:val="TableGrid"/>
        <w:tblW w:type="auto" w:w="0"/>
        <w:jc w:val="center"/>
        <w:tblLook w:firstColumn="1" w:firstRow="1" w:lastColumn="0" w:lastRow="0" w:noHBand="0" w:noVBand="1" w:val="04A0"/>
        <w:tblBorders>
          <w:top w:val="single" w:sz="6" w:space="0" w:color="B7BDC7"/>
          <w:left w:val="single" w:sz="6" w:space="0" w:color="B7BDC7"/>
          <w:bottom w:val="single" w:sz="6" w:space="0" w:color="B7BDC7"/>
          <w:right w:val="single" w:sz="6" w:space="0" w:color="B7BDC7"/>
          <w:insideH w:val="single" w:sz="6" w:space="0" w:color="B7BDC7"/>
          <w:insideV w:val="single" w:sz="6" w:space="0" w:color="B7BDC7"/>
        </w:tblBorders>
      </w:tblPr>
      <w:tblGrid>
        <w:gridCol w:w="4986"/>
        <w:gridCol w:w="4986"/>
      </w:tblGrid>
      <w:tr>
        <w:tc>
          <w:tcPr>
            <w:tcW w:type="dxa" w:w="4986"/>
            <w:shd w:fill="1F4E79"/>
          </w:tcPr>
          <w:p>
            <w:r>
              <w:rPr>
                <w:rFonts w:ascii="Aptos" w:hAnsi="Aptos" w:eastAsia="Aptos"/>
                <w:b/>
                <w:color w:val="FFFFFF"/>
                <w:sz w:val="19"/>
              </w:rPr>
              <w:t>Tablespace</w:t>
            </w:r>
          </w:p>
        </w:tc>
        <w:tc>
          <w:tcPr>
            <w:tcW w:type="dxa" w:w="4986"/>
            <w:shd w:fill="1F4E79"/>
          </w:tcPr>
          <w:p>
            <w:r>
              <w:rPr>
                <w:rFonts w:ascii="Aptos" w:hAnsi="Aptos" w:eastAsia="Aptos"/>
                <w:b/>
                <w:color w:val="FFFFFF"/>
                <w:sz w:val="19"/>
              </w:rPr>
              <w:t>Rôle</w:t>
            </w:r>
          </w:p>
        </w:tc>
      </w:tr>
      <w:tr>
        <w:tc>
          <w:tcPr>
            <w:tcW w:type="dxa" w:w="4986"/>
            <w:vAlign w:val="top"/>
          </w:tcPr>
          <w:p>
            <w:r>
              <w:rPr>
                <w:rFonts w:ascii="Aptos" w:hAnsi="Aptos" w:eastAsia="Aptos"/>
                <w:sz w:val="19"/>
              </w:rPr>
              <w:t>TS_USERS</w:t>
            </w:r>
          </w:p>
        </w:tc>
        <w:tc>
          <w:tcPr>
            <w:tcW w:type="dxa" w:w="4986"/>
            <w:vAlign w:val="top"/>
          </w:tcPr>
          <w:p>
            <w:r>
              <w:rPr>
                <w:rFonts w:ascii="Aptos" w:hAnsi="Aptos" w:eastAsia="Aptos"/>
                <w:sz w:val="19"/>
              </w:rPr>
              <w:t>Données communes : utilisateurs, entités, profils, localisations</w:t>
            </w:r>
          </w:p>
        </w:tc>
      </w:tr>
      <w:tr>
        <w:tc>
          <w:tcPr>
            <w:tcW w:type="dxa" w:w="4986"/>
            <w:vAlign w:val="top"/>
          </w:tcPr>
          <w:p>
            <w:r>
              <w:rPr>
                <w:rFonts w:ascii="Aptos" w:hAnsi="Aptos" w:eastAsia="Aptos"/>
                <w:sz w:val="19"/>
              </w:rPr>
              <w:t>TS_MATERIELS_CERGY</w:t>
            </w:r>
          </w:p>
        </w:tc>
        <w:tc>
          <w:tcPr>
            <w:tcW w:type="dxa" w:w="4986"/>
            <w:vAlign w:val="top"/>
          </w:tcPr>
          <w:p>
            <w:r>
              <w:rPr>
                <w:rFonts w:ascii="Aptos" w:hAnsi="Aptos" w:eastAsia="Aptos"/>
                <w:sz w:val="19"/>
              </w:rPr>
              <w:t>Matériels et composants du site de Cergy</w:t>
            </w:r>
          </w:p>
        </w:tc>
      </w:tr>
      <w:tr>
        <w:tc>
          <w:tcPr>
            <w:tcW w:type="dxa" w:w="4986"/>
            <w:vAlign w:val="top"/>
          </w:tcPr>
          <w:p>
            <w:r>
              <w:rPr>
                <w:rFonts w:ascii="Aptos" w:hAnsi="Aptos" w:eastAsia="Aptos"/>
                <w:sz w:val="19"/>
              </w:rPr>
              <w:t>TS_MATERIELS_PAU</w:t>
            </w:r>
          </w:p>
        </w:tc>
        <w:tc>
          <w:tcPr>
            <w:tcW w:type="dxa" w:w="4986"/>
            <w:vAlign w:val="top"/>
          </w:tcPr>
          <w:p>
            <w:r>
              <w:rPr>
                <w:rFonts w:ascii="Aptos" w:hAnsi="Aptos" w:eastAsia="Aptos"/>
                <w:sz w:val="19"/>
              </w:rPr>
              <w:t>Matériels et composants du site de Pau</w:t>
            </w:r>
          </w:p>
        </w:tc>
      </w:tr>
      <w:tr>
        <w:tc>
          <w:tcPr>
            <w:tcW w:type="dxa" w:w="4986"/>
            <w:vAlign w:val="top"/>
          </w:tcPr>
          <w:p>
            <w:r>
              <w:rPr>
                <w:rFonts w:ascii="Aptos" w:hAnsi="Aptos" w:eastAsia="Aptos"/>
                <w:sz w:val="19"/>
              </w:rPr>
              <w:t>TS_RESEAU</w:t>
            </w:r>
          </w:p>
        </w:tc>
        <w:tc>
          <w:tcPr>
            <w:tcW w:type="dxa" w:w="4986"/>
            <w:vAlign w:val="top"/>
          </w:tcPr>
          <w:p>
            <w:r>
              <w:rPr>
                <w:rFonts w:ascii="Aptos" w:hAnsi="Aptos" w:eastAsia="Aptos"/>
                <w:sz w:val="19"/>
              </w:rPr>
              <w:t>Équipements réseau, ports, IP, VLANs et sous-réseaux</w:t>
            </w:r>
          </w:p>
        </w:tc>
      </w:tr>
      <w:tr>
        <w:tc>
          <w:tcPr>
            <w:tcW w:type="dxa" w:w="4986"/>
            <w:vAlign w:val="top"/>
          </w:tcPr>
          <w:p>
            <w:r>
              <w:rPr>
                <w:rFonts w:ascii="Aptos" w:hAnsi="Aptos" w:eastAsia="Aptos"/>
                <w:sz w:val="19"/>
              </w:rPr>
              <w:t>TS_INDEX</w:t>
            </w:r>
          </w:p>
        </w:tc>
        <w:tc>
          <w:tcPr>
            <w:tcW w:type="dxa" w:w="4986"/>
            <w:vAlign w:val="top"/>
          </w:tcPr>
          <w:p>
            <w:r>
              <w:rPr>
                <w:rFonts w:ascii="Aptos" w:hAnsi="Aptos" w:eastAsia="Aptos"/>
                <w:sz w:val="19"/>
              </w:rPr>
              <w:t>Index B-tree, bitmap et index de clusters</w:t>
            </w:r>
          </w:p>
        </w:tc>
      </w:tr>
      <w:tr>
        <w:tc>
          <w:tcPr>
            <w:tcW w:type="dxa" w:w="4986"/>
            <w:vAlign w:val="top"/>
          </w:tcPr>
          <w:p>
            <w:r>
              <w:rPr>
                <w:rFonts w:ascii="Aptos" w:hAnsi="Aptos" w:eastAsia="Aptos"/>
                <w:sz w:val="19"/>
              </w:rPr>
              <w:t>TS_AUDIT</w:t>
            </w:r>
          </w:p>
        </w:tc>
        <w:tc>
          <w:tcPr>
            <w:tcW w:type="dxa" w:w="4986"/>
            <w:vAlign w:val="top"/>
          </w:tcPr>
          <w:p>
            <w:r>
              <w:rPr>
                <w:rFonts w:ascii="Aptos" w:hAnsi="Aptos" w:eastAsia="Aptos"/>
                <w:sz w:val="19"/>
              </w:rPr>
              <w:t>Table d’audit et journalisation métier</w:t>
            </w:r>
          </w:p>
        </w:tc>
      </w:tr>
      <w:tr>
        <w:tc>
          <w:tcPr>
            <w:tcW w:type="dxa" w:w="4986"/>
            <w:vAlign w:val="top"/>
          </w:tcPr>
          <w:p>
            <w:r>
              <w:rPr>
                <w:rFonts w:ascii="Aptos" w:hAnsi="Aptos" w:eastAsia="Aptos"/>
                <w:sz w:val="19"/>
              </w:rPr>
              <w:t>TS_MVIEWS</w:t>
            </w:r>
          </w:p>
        </w:tc>
        <w:tc>
          <w:tcPr>
            <w:tcW w:type="dxa" w:w="4986"/>
            <w:vAlign w:val="top"/>
          </w:tcPr>
          <w:p>
            <w:r>
              <w:rPr>
                <w:rFonts w:ascii="Aptos" w:hAnsi="Aptos" w:eastAsia="Aptos"/>
                <w:sz w:val="19"/>
              </w:rPr>
              <w:t>Vues matérialisées utilisées pour la réplication et le reporting</w:t>
            </w:r>
          </w:p>
        </w:tc>
      </w:tr>
    </w:tbl>
    <w:p>
      <w:pPr>
        <w:pStyle w:val="Heading1"/>
      </w:pPr>
      <w:r>
        <w:t>5. Modélisation relationnelle, contraintes et types de données</w:t>
      </w:r>
    </w:p>
    <w:p>
      <w:pPr>
        <w:spacing w:after="120" w:line="259" w:lineRule="auto"/>
      </w:pPr>
      <w:r>
        <w:t>Le fichier 03_ddl_tables_clusters_index.sql contient le cœur de la structure relationnelle. Il crée les séquences, les clusters, les tables de référence, les tables de matériels par site, les composants et les index. L’un des choix structurants est de remplacer l’auto-incrémentation MySQL par des séquences Oracle, ensuite utilisées par des triggers d’insertion.</w:t>
      </w:r>
    </w:p>
    <w:p>
      <w:pPr>
        <w:spacing w:after="120" w:line="259" w:lineRule="auto"/>
      </w:pPr>
      <w:r>
        <w:t>La table COMPUTERS_CERGY constitue un exemple représentatif. Elle contient les informations principales d’un ordinateur du site de Cergy : identifiant, entité, nom, numéro de série, utilisateur, localisation, système d’exploitation, modèle, fabricant, RAM déclarée, état et indicateur de suppression logique. Contrairement au modèle initial, les relations importantes sont encadrées par des clés étrangères et des contraintes.</w:t>
      </w:r>
    </w:p>
    <w:p>
      <w:pPr>
        <w:spacing w:after="120" w:line="259" w:lineRule="auto"/>
      </w:pPr>
      <w:r>
        <w:t>Les types de données ont également été adaptés. Les valeurs numériques comme la RAM, les fréquences ou les identifiants sont stockées en NUMBER. Les dates de création et de modification sont stockées en DATE. Les booléens applicatifs sont représentés par des colonnes numériques contrôlées par des CHECK. L’objectif est de réduire les valeurs incohérentes et de clarifier le modèle.</w:t>
      </w:r>
    </w:p>
    <w:p>
      <w:pPr>
        <w:pStyle w:val="CodeBlock"/>
        <w:keepLines/>
        <w:shd w:fill="F3F6FA"/>
      </w:pPr>
      <w:r>
        <w:t>CREATE SEQUENCE SEQ_COMPUTERS_C START WITH 1 INCREMENT BY 1;</w:t>
        <w:br/>
        <w:t>CREATE SEQUENCE SEQ_COMPUTERS_P START WITH 1 INCREMENT BY 1;</w:t>
        <w:br/>
        <w:br/>
        <w:t>-- Exemple simplifié</w:t>
        <w:br/>
        <w:t>CREATE TABLE COMPUTERS_CERGY (</w:t>
        <w:br/>
        <w:t xml:space="preserve">  id NUMBER(10) NOT NULL,</w:t>
        <w:br/>
        <w:t xml:space="preserve">  entities_id NUMBER(10) NOT NULL,</w:t>
        <w:br/>
        <w:t xml:space="preserve">  name VARCHAR2(255) NOT NULL,</w:t>
        <w:br/>
        <w:t xml:space="preserve">  ram_total NUMBER(10),</w:t>
        <w:br/>
        <w:t xml:space="preserve">  is_deleted NUMBER(1) DEFAULT 0 CHECK (is_deleted IN (0,1)),</w:t>
        <w:br/>
        <w:t xml:space="preserve">  date_creation DATE DEFAULT SYSDATE,</w:t>
        <w:br/>
        <w:t xml:space="preserve">  date_mod DATE,</w:t>
        <w:br/>
        <w:t xml:space="preserve">  CONSTRAINT PK_COMPUTERS_C PRIMARY KEY (id)</w:t>
        <w:br/>
        <w:t>);</w:t>
      </w:r>
    </w:p>
    <w:p>
      <w:pPr>
        <w:spacing w:after="120" w:line="259" w:lineRule="auto"/>
      </w:pPr>
      <w:r>
        <w:t>Cette modélisation permet de faire porter la cohérence sur la base elle-même. Par exemple, une machine doit appartenir à une entité existante, une localisation doit être rattachée à un site, et un composant ne doit pas être laissé sans machine de référence. La base devient donc un acteur de contrôle, et non un simple espace de stockage.</w:t>
      </w:r>
    </w:p>
    <w:p>
      <w:pPr>
        <w:pStyle w:val="Heading1"/>
      </w:pPr>
      <w:r>
        <w:t>6. Automatisation PL/SQL : triggers, procédures, fonctions et package</w:t>
      </w:r>
    </w:p>
    <w:p>
      <w:pPr>
        <w:spacing w:after="120" w:line="259" w:lineRule="auto"/>
      </w:pPr>
      <w:r>
        <w:t>La partie PL/SQL est l’un des apports les plus importants du projet. Elle montre que la base n’est pas seulement un ensemble de tables, mais qu’elle peut appliquer des règles métier, automatiser des traitements et garantir une partie de l’intégrité des données. Le fichier 05_plsql_triggers_procedures.sql regroupe les triggers, procédures, fonctions et le package.</w:t>
      </w:r>
    </w:p>
    <w:p>
      <w:pPr>
        <w:spacing w:after="120" w:line="259" w:lineRule="auto"/>
      </w:pPr>
      <w:r>
        <w:t>Les triggers d’insertion permettent d’utiliser les séquences Oracle pour générer automatiquement les identifiants. D’autres triggers assurent l’audit des opérations, la mise à jour de dates de modification, la cohérence de la RAM ou la propagation du soft-delete. L’audit est particulièrement utile : une modification sur une machine est enregistrée dans AUDIT_LOG, ce qui permet de garder une trace des opérations sensibles.</w:t>
      </w:r>
    </w:p>
    <w:p>
      <w:pPr>
        <w:spacing w:after="120" w:line="259" w:lineRule="auto"/>
      </w:pPr>
      <w:r>
        <w:t>Le trigger de vérification de la RAM illustre une règle métier concrète. Lorsqu’un module mémoire est ajouté ou modifié, la base peut recalculer la RAM réelle d’une machine à partir de ses composants. Si l’écart avec la RAM déclarée dépasse un seuil, l’information peut être corrigée et l’action auditée. Ce choix montre l’intérêt de centraliser certaines règles proches de la donnée.</w:t>
      </w:r>
    </w:p>
    <w:p>
      <w:pPr>
        <w:spacing w:after="120" w:line="259" w:lineRule="auto"/>
      </w:pPr>
      <w:r>
        <w:t>Les procédures complètent cette logique. PRC_RAPPORT_INVENTAIRE génère un rapport d’inventaire à l’aide de curseurs. PRC_SEARCH_COMPUTERS expose un SYS_REFCURSOR pour filtrer les machines. PRC_TRANSFER_COMPUTER représente une opération transactionnelle : le transfert d’une machine entre sites doit être complet ou annulé par ROLLBACK en cas d’erreur. Enfin, PRC_REFRESH_MVIEWS permet de rafraîchir les vues matérialisées.</w:t>
      </w:r>
    </w:p>
    <w:tbl>
      <w:tblPr>
        <w:tblStyle w:val="TableGrid"/>
        <w:tblW w:type="auto" w:w="0"/>
        <w:jc w:val="center"/>
        <w:tblLook w:firstColumn="1" w:firstRow="1" w:lastColumn="0" w:lastRow="0" w:noHBand="0" w:noVBand="1" w:val="04A0"/>
        <w:tblBorders>
          <w:top w:val="single" w:sz="6" w:space="0" w:color="B7BDC7"/>
          <w:left w:val="single" w:sz="6" w:space="0" w:color="B7BDC7"/>
          <w:bottom w:val="single" w:sz="6" w:space="0" w:color="B7BDC7"/>
          <w:right w:val="single" w:sz="6" w:space="0" w:color="B7BDC7"/>
          <w:insideH w:val="single" w:sz="6" w:space="0" w:color="B7BDC7"/>
          <w:insideV w:val="single" w:sz="6" w:space="0" w:color="B7BDC7"/>
        </w:tblBorders>
      </w:tblPr>
      <w:tblGrid>
        <w:gridCol w:w="4986"/>
        <w:gridCol w:w="4986"/>
      </w:tblGrid>
      <w:tr>
        <w:tc>
          <w:tcPr>
            <w:tcW w:type="dxa" w:w="4986"/>
            <w:shd w:fill="1F4E79"/>
          </w:tcPr>
          <w:p>
            <w:r>
              <w:rPr>
                <w:rFonts w:ascii="Aptos" w:hAnsi="Aptos" w:eastAsia="Aptos"/>
                <w:b/>
                <w:color w:val="FFFFFF"/>
                <w:sz w:val="19"/>
              </w:rPr>
              <w:t>Objet PL/SQL</w:t>
            </w:r>
          </w:p>
        </w:tc>
        <w:tc>
          <w:tcPr>
            <w:tcW w:type="dxa" w:w="4986"/>
            <w:shd w:fill="1F4E79"/>
          </w:tcPr>
          <w:p>
            <w:r>
              <w:rPr>
                <w:rFonts w:ascii="Aptos" w:hAnsi="Aptos" w:eastAsia="Aptos"/>
                <w:b/>
                <w:color w:val="FFFFFF"/>
                <w:sz w:val="19"/>
              </w:rPr>
              <w:t>Utilité</w:t>
            </w:r>
          </w:p>
        </w:tc>
      </w:tr>
      <w:tr>
        <w:tc>
          <w:tcPr>
            <w:tcW w:type="dxa" w:w="4986"/>
            <w:vAlign w:val="top"/>
          </w:tcPr>
          <w:p>
            <w:r>
              <w:rPr>
                <w:rFonts w:ascii="Aptos" w:hAnsi="Aptos" w:eastAsia="Aptos"/>
                <w:sz w:val="19"/>
              </w:rPr>
              <w:t>TRG_AUDIT_COMPUTERS_CERGY</w:t>
            </w:r>
          </w:p>
        </w:tc>
        <w:tc>
          <w:tcPr>
            <w:tcW w:type="dxa" w:w="4986"/>
            <w:vAlign w:val="top"/>
          </w:tcPr>
          <w:p>
            <w:r>
              <w:rPr>
                <w:rFonts w:ascii="Aptos" w:hAnsi="Aptos" w:eastAsia="Aptos"/>
                <w:sz w:val="19"/>
              </w:rPr>
              <w:t>Historiser les insertions, modifications et suppressions sur les machines</w:t>
            </w:r>
          </w:p>
        </w:tc>
      </w:tr>
      <w:tr>
        <w:tc>
          <w:tcPr>
            <w:tcW w:type="dxa" w:w="4986"/>
            <w:vAlign w:val="top"/>
          </w:tcPr>
          <w:p>
            <w:r>
              <w:rPr>
                <w:rFonts w:ascii="Aptos" w:hAnsi="Aptos" w:eastAsia="Aptos"/>
                <w:sz w:val="19"/>
              </w:rPr>
              <w:t>TRG_CHECK_RAM_CERGY</w:t>
            </w:r>
          </w:p>
        </w:tc>
        <w:tc>
          <w:tcPr>
            <w:tcW w:type="dxa" w:w="4986"/>
            <w:vAlign w:val="top"/>
          </w:tcPr>
          <w:p>
            <w:r>
              <w:rPr>
                <w:rFonts w:ascii="Aptos" w:hAnsi="Aptos" w:eastAsia="Aptos"/>
                <w:sz w:val="19"/>
              </w:rPr>
              <w:t>Comparer la RAM déclarée avec la somme des modules mémoire</w:t>
            </w:r>
          </w:p>
        </w:tc>
      </w:tr>
      <w:tr>
        <w:tc>
          <w:tcPr>
            <w:tcW w:type="dxa" w:w="4986"/>
            <w:vAlign w:val="top"/>
          </w:tcPr>
          <w:p>
            <w:r>
              <w:rPr>
                <w:rFonts w:ascii="Aptos" w:hAnsi="Aptos" w:eastAsia="Aptos"/>
                <w:sz w:val="19"/>
              </w:rPr>
              <w:t>TRG_SOFTDEL_COMPUTER_CERGY</w:t>
            </w:r>
          </w:p>
        </w:tc>
        <w:tc>
          <w:tcPr>
            <w:tcW w:type="dxa" w:w="4986"/>
            <w:vAlign w:val="top"/>
          </w:tcPr>
          <w:p>
            <w:r>
              <w:rPr>
                <w:rFonts w:ascii="Aptos" w:hAnsi="Aptos" w:eastAsia="Aptos"/>
                <w:sz w:val="19"/>
              </w:rPr>
              <w:t>Propager la suppression logique aux composants liés</w:t>
            </w:r>
          </w:p>
        </w:tc>
      </w:tr>
      <w:tr>
        <w:tc>
          <w:tcPr>
            <w:tcW w:type="dxa" w:w="4986"/>
            <w:vAlign w:val="top"/>
          </w:tcPr>
          <w:p>
            <w:r>
              <w:rPr>
                <w:rFonts w:ascii="Aptos" w:hAnsi="Aptos" w:eastAsia="Aptos"/>
                <w:sz w:val="19"/>
              </w:rPr>
              <w:t>PRC_TRANSFER_COMPUTER</w:t>
            </w:r>
          </w:p>
        </w:tc>
        <w:tc>
          <w:tcPr>
            <w:tcW w:type="dxa" w:w="4986"/>
            <w:vAlign w:val="top"/>
          </w:tcPr>
          <w:p>
            <w:r>
              <w:rPr>
                <w:rFonts w:ascii="Aptos" w:hAnsi="Aptos" w:eastAsia="Aptos"/>
                <w:sz w:val="19"/>
              </w:rPr>
              <w:t>Transférer une machine entre sites avec COMMIT/ROLLBACK</w:t>
            </w:r>
          </w:p>
        </w:tc>
      </w:tr>
      <w:tr>
        <w:tc>
          <w:tcPr>
            <w:tcW w:type="dxa" w:w="4986"/>
            <w:vAlign w:val="top"/>
          </w:tcPr>
          <w:p>
            <w:r>
              <w:rPr>
                <w:rFonts w:ascii="Aptos" w:hAnsi="Aptos" w:eastAsia="Aptos"/>
                <w:sz w:val="19"/>
              </w:rPr>
              <w:t>FN_IP_IN_NETWORK</w:t>
            </w:r>
          </w:p>
        </w:tc>
        <w:tc>
          <w:tcPr>
            <w:tcW w:type="dxa" w:w="4986"/>
            <w:vAlign w:val="top"/>
          </w:tcPr>
          <w:p>
            <w:r>
              <w:rPr>
                <w:rFonts w:ascii="Aptos" w:hAnsi="Aptos" w:eastAsia="Aptos"/>
                <w:sz w:val="19"/>
              </w:rPr>
              <w:t>Tester l’appartenance d’une adresse IP à un sous-réseau CIDR</w:t>
            </w:r>
          </w:p>
        </w:tc>
      </w:tr>
      <w:tr>
        <w:tc>
          <w:tcPr>
            <w:tcW w:type="dxa" w:w="4986"/>
            <w:vAlign w:val="top"/>
          </w:tcPr>
          <w:p>
            <w:r>
              <w:rPr>
                <w:rFonts w:ascii="Aptos" w:hAnsi="Aptos" w:eastAsia="Aptos"/>
                <w:sz w:val="19"/>
              </w:rPr>
              <w:t>PKG_GLPI_UTILS</w:t>
            </w:r>
          </w:p>
        </w:tc>
        <w:tc>
          <w:tcPr>
            <w:tcW w:type="dxa" w:w="4986"/>
            <w:vAlign w:val="top"/>
          </w:tcPr>
          <w:p>
            <w:r>
              <w:rPr>
                <w:rFonts w:ascii="Aptos" w:hAnsi="Aptos" w:eastAsia="Aptos"/>
                <w:sz w:val="19"/>
              </w:rPr>
              <w:t>Regrouper les fonctions et procédures utiles dans un package maintenable</w:t>
            </w:r>
          </w:p>
        </w:tc>
      </w:tr>
    </w:tbl>
    <w:p>
      <w:pPr>
        <w:spacing w:after="120" w:line="259" w:lineRule="auto"/>
      </w:pPr>
      <w:r>
        <w:t>L’ensemble est regroupé dans un package PL/SQL. Cette organisation est plus propre qu’une collection de fonctions isolées : elle sépare la spécification publique du corps d’implémentation et facilite la maintenance dans un projet d’équipe.</w:t>
      </w:r>
    </w:p>
    <w:p>
      <w:pPr>
        <w:pStyle w:val="Heading1"/>
      </w:pPr>
      <w:r>
        <w:t>7. Vues, vues matérialisées et base de données répartie</w:t>
      </w:r>
    </w:p>
    <w:p>
      <w:pPr>
        <w:spacing w:after="120" w:line="259" w:lineRule="auto"/>
      </w:pPr>
      <w:r>
        <w:t>Les vues jouent un rôle central dans la lisibilité du modèle. La séparation physique des tables par site est utile pour l’architecture, mais elle ne doit pas compliquer les requêtes des utilisateurs. La vue V_ALL_COMPUTERS permet donc de reconstruire une vision globale du parc en agrégeant les machines de Cergy et de Pau avec UNION ALL.</w:t>
      </w:r>
    </w:p>
    <w:p>
      <w:pPr>
        <w:spacing w:after="120" w:line="259" w:lineRule="auto"/>
      </w:pPr>
      <w:r>
        <w:t>Les vues d’inventaire enrichies, comme V_INVENTORY_CERGY et V_INVENTORY_PAU, simplifient l’accès aux informations métier. Elles regroupent les données machines avec des informations de contexte : utilisateur, système d’exploitation, localisation, fabricant, modèle ou entité. Elles évitent de réécrire des jointures complexes à chaque consultation.</w:t>
      </w:r>
    </w:p>
    <w:p>
      <w:pPr>
        <w:spacing w:after="120" w:line="259" w:lineRule="auto"/>
      </w:pPr>
      <w:r>
        <w:t>Les vues matérialisées répondent à un autre besoin : optimiser les consultations plus coûteuses, notamment dans un contexte multi-sites. Une vue matérialisée stocke physiquement le résultat d’une requête. Cela peut réduire les recalculs et limiter les accès réseau. En contrepartie, les données peuvent être légèrement décalées selon le mode de rafraîchissement choisi.</w:t>
      </w:r>
    </w:p>
    <w:p>
      <w:pPr>
        <w:pStyle w:val="CodeBlock"/>
        <w:keepLines/>
        <w:shd w:fill="F3F6FA"/>
      </w:pPr>
      <w:r>
        <w:t>CREATE OR REPLACE VIEW V_ALL_COMPUTERS AS</w:t>
        <w:br/>
        <w:t>SELECT ... FROM COMPUTERS_CERGY</w:t>
        <w:br/>
        <w:t>UNION ALL</w:t>
        <w:br/>
        <w:t>SELECT ... FROM COMPUTERS_PAU;</w:t>
        <w:br/>
        <w:br/>
        <w:t>CREATE MATERIALIZED VIEW MV_ALL_INVENTORY AS</w:t>
        <w:br/>
        <w:t>SELECT ... FROM MV_INVENTORY_CERGY</w:t>
        <w:br/>
        <w:t>UNION ALL</w:t>
        <w:br/>
        <w:t>SELECT ... FROM MV_INVENTORY_PAU;</w:t>
      </w:r>
    </w:p>
    <w:p>
      <w:pPr>
        <w:spacing w:after="120" w:line="259" w:lineRule="auto"/>
      </w:pPr>
      <w:r>
        <w:t>Pour la BDDR, l’architecture prévoit deux nœuds Oracle : un nœud Cergy et un nœud Pau. Les deux sites peuvent communiquer à l’aide de DATABASE LINK. Même si le déploiement physique dépend de l’environnement disponible, les scripts modélisent clairement cette séparation. Les vues matérialisées constituent alors une solution de réplication et de reporting entre sites.</w:t>
      </w:r>
    </w:p>
    <w:p>
      <w:pPr>
        <w:pStyle w:val="Heading1"/>
      </w:pPr>
      <w:r>
        <w:t>8. Optimisation : clusters, index et plans d’exécution</w:t>
      </w:r>
    </w:p>
    <w:p>
      <w:pPr>
        <w:spacing w:after="120" w:line="259" w:lineRule="auto"/>
      </w:pPr>
      <w:r>
        <w:t>L’optimisation ne repose pas sur un seul mécanisme. Le projet combine des clusters Oracle, des index adaptés et l’analyse des plans d’exécution. Les clusters rapprochent physiquement des lignes de tables différentes souvent jointes sur la même clé. Dans le projet, ils ciblent les associations ordinateur-port réseau et équipement réseau-port réseau.</w:t>
      </w:r>
    </w:p>
    <w:p>
      <w:pPr>
        <w:spacing w:after="120" w:line="259" w:lineRule="auto"/>
      </w:pPr>
      <w:r>
        <w:t>Les index sont définis en fonction des requêtes attendues. Les index composites, comme IDX_CC_ENT_DEL sur entities_id et is_deleted, accélèrent les recherches de machines actives par site. Les index fonctionnels sur UPPER(name) facilitent les recherches insensibles à la casse. Les index bitmap sont proposés pour des colonnes à faible cardinalité comme is_deleted, ce qui est cohérent pour des usages principalement orientés lecture ou reporting.</w:t>
      </w:r>
    </w:p>
    <w:p>
      <w:pPr>
        <w:spacing w:after="120" w:line="259" w:lineRule="auto"/>
      </w:pPr>
      <w:r>
        <w:t>Le projet évite l’indexation gratuite. Chaque index répond à une situation concrète : filtrer les machines d’une entité, exclure les éléments supprimés logiquement, rechercher un ordinateur par nom ou par numéro de série, ou accélérer les jointures fréquentes avec les composants.</w:t>
      </w:r>
    </w:p>
    <w:p>
      <w:pPr>
        <w:pStyle w:val="CodeBlock"/>
        <w:keepLines/>
        <w:shd w:fill="F3F6FA"/>
      </w:pPr>
      <w:r>
        <w:t>CREATE INDEX IDX_CC_ENT_DEL ON COMPUTERS_CERGY(entities_id, is_deleted);</w:t>
        <w:br/>
        <w:t>CREATE INDEX IDX_CP_ENT_DEL ON COMPUTERS_PAU(entities_id, is_deleted);</w:t>
        <w:br/>
        <w:t>CREATE INDEX IDX_CC_NAME ON COMPUTERS_CERGY(UPPER(name));</w:t>
        <w:br/>
        <w:t>CREATE BITMAP INDEX BIDX_CC_DEL ON COMPUTERS_CERGY(is_deleted);</w:t>
      </w:r>
    </w:p>
    <w:p>
      <w:pPr>
        <w:spacing w:after="120" w:line="259" w:lineRule="auto"/>
      </w:pPr>
      <w:r>
        <w:t>Les tests de performance utilisent EXPLAIN PLAN et DBMS_XPLAN.DISPLAY. L’intérêt est de vérifier la stratégie réellement retenue par Oracle : full table scan, index range scan, coût estimé, accès par index ou accès via vue matérialisée. Cette approche permet de justifier les choix techniques au lieu de simplement affirmer qu’ils améliorent les performances.</w:t>
      </w:r>
    </w:p>
    <w:p>
      <w:pPr>
        <w:pStyle w:val="Heading1"/>
      </w:pPr>
      <w:r>
        <w:t>9. Jeu de test et validation des performances</w:t>
      </w:r>
    </w:p>
    <w:p>
      <w:pPr>
        <w:spacing w:after="120" w:line="259" w:lineRule="auto"/>
      </w:pPr>
      <w:r>
        <w:t>Pour valider la structure, le projet génère un jeu de test conséquent en PL/SQL. L’objectif est d’éviter une validation artificielle sur quelques lignes seulement. Le jeu de test simule un parc avec des utilisateurs, ordinateurs, équipements réseau, ports, adresses IP, VLANs et modules mémoire. Le volume annoncé est d’environ dix à quinze mille enregistrements selon les objets comptabilisés.</w:t>
      </w:r>
    </w:p>
    <w:tbl>
      <w:tblPr>
        <w:tblStyle w:val="TableGrid"/>
        <w:tblW w:type="auto" w:w="0"/>
        <w:jc w:val="center"/>
        <w:tblLook w:firstColumn="1" w:firstRow="1" w:lastColumn="0" w:lastRow="0" w:noHBand="0" w:noVBand="1" w:val="04A0"/>
        <w:tblBorders>
          <w:top w:val="single" w:sz="6" w:space="0" w:color="B7BDC7"/>
          <w:left w:val="single" w:sz="6" w:space="0" w:color="B7BDC7"/>
          <w:bottom w:val="single" w:sz="6" w:space="0" w:color="B7BDC7"/>
          <w:right w:val="single" w:sz="6" w:space="0" w:color="B7BDC7"/>
          <w:insideH w:val="single" w:sz="6" w:space="0" w:color="B7BDC7"/>
          <w:insideV w:val="single" w:sz="6" w:space="0" w:color="B7BDC7"/>
        </w:tblBorders>
      </w:tblPr>
      <w:tblGrid>
        <w:gridCol w:w="4986"/>
        <w:gridCol w:w="4986"/>
      </w:tblGrid>
      <w:tr>
        <w:tc>
          <w:tcPr>
            <w:tcW w:type="dxa" w:w="4986"/>
            <w:shd w:fill="1F4E79"/>
          </w:tcPr>
          <w:p>
            <w:r>
              <w:rPr>
                <w:rFonts w:ascii="Aptos" w:hAnsi="Aptos" w:eastAsia="Aptos"/>
                <w:b/>
                <w:color w:val="FFFFFF"/>
                <w:sz w:val="19"/>
              </w:rPr>
              <w:t>Objet généré</w:t>
            </w:r>
          </w:p>
        </w:tc>
        <w:tc>
          <w:tcPr>
            <w:tcW w:type="dxa" w:w="4986"/>
            <w:shd w:fill="1F4E79"/>
          </w:tcPr>
          <w:p>
            <w:r>
              <w:rPr>
                <w:rFonts w:ascii="Aptos" w:hAnsi="Aptos" w:eastAsia="Aptos"/>
                <w:b/>
                <w:color w:val="FFFFFF"/>
                <w:sz w:val="19"/>
              </w:rPr>
              <w:t>Volume indicatif</w:t>
            </w:r>
          </w:p>
        </w:tc>
      </w:tr>
      <w:tr>
        <w:tc>
          <w:tcPr>
            <w:tcW w:type="dxa" w:w="4986"/>
            <w:vAlign w:val="top"/>
          </w:tcPr>
          <w:p>
            <w:r>
              <w:rPr>
                <w:rFonts w:ascii="Aptos" w:hAnsi="Aptos" w:eastAsia="Aptos"/>
                <w:sz w:val="19"/>
              </w:rPr>
              <w:t>Utilisateurs</w:t>
            </w:r>
          </w:p>
        </w:tc>
        <w:tc>
          <w:tcPr>
            <w:tcW w:type="dxa" w:w="4986"/>
            <w:vAlign w:val="top"/>
          </w:tcPr>
          <w:p>
            <w:r>
              <w:rPr>
                <w:rFonts w:ascii="Aptos" w:hAnsi="Aptos" w:eastAsia="Aptos"/>
                <w:sz w:val="19"/>
              </w:rPr>
              <w:t>1 000</w:t>
            </w:r>
          </w:p>
        </w:tc>
      </w:tr>
      <w:tr>
        <w:tc>
          <w:tcPr>
            <w:tcW w:type="dxa" w:w="4986"/>
            <w:vAlign w:val="top"/>
          </w:tcPr>
          <w:p>
            <w:r>
              <w:rPr>
                <w:rFonts w:ascii="Aptos" w:hAnsi="Aptos" w:eastAsia="Aptos"/>
                <w:sz w:val="19"/>
              </w:rPr>
              <w:t>Ordinateurs Cergy</w:t>
            </w:r>
          </w:p>
        </w:tc>
        <w:tc>
          <w:tcPr>
            <w:tcW w:type="dxa" w:w="4986"/>
            <w:vAlign w:val="top"/>
          </w:tcPr>
          <w:p>
            <w:r>
              <w:rPr>
                <w:rFonts w:ascii="Aptos" w:hAnsi="Aptos" w:eastAsia="Aptos"/>
                <w:sz w:val="19"/>
              </w:rPr>
              <w:t>5 000</w:t>
            </w:r>
          </w:p>
        </w:tc>
      </w:tr>
      <w:tr>
        <w:tc>
          <w:tcPr>
            <w:tcW w:type="dxa" w:w="4986"/>
            <w:vAlign w:val="top"/>
          </w:tcPr>
          <w:p>
            <w:r>
              <w:rPr>
                <w:rFonts w:ascii="Aptos" w:hAnsi="Aptos" w:eastAsia="Aptos"/>
                <w:sz w:val="19"/>
              </w:rPr>
              <w:t>Ordinateurs Pau</w:t>
            </w:r>
          </w:p>
        </w:tc>
        <w:tc>
          <w:tcPr>
            <w:tcW w:type="dxa" w:w="4986"/>
            <w:vAlign w:val="top"/>
          </w:tcPr>
          <w:p>
            <w:r>
              <w:rPr>
                <w:rFonts w:ascii="Aptos" w:hAnsi="Aptos" w:eastAsia="Aptos"/>
                <w:sz w:val="19"/>
              </w:rPr>
              <w:t>3 000</w:t>
            </w:r>
          </w:p>
        </w:tc>
      </w:tr>
      <w:tr>
        <w:tc>
          <w:tcPr>
            <w:tcW w:type="dxa" w:w="4986"/>
            <w:vAlign w:val="top"/>
          </w:tcPr>
          <w:p>
            <w:r>
              <w:rPr>
                <w:rFonts w:ascii="Aptos" w:hAnsi="Aptos" w:eastAsia="Aptos"/>
                <w:sz w:val="19"/>
              </w:rPr>
              <w:t>Équipements réseau</w:t>
            </w:r>
          </w:p>
        </w:tc>
        <w:tc>
          <w:tcPr>
            <w:tcW w:type="dxa" w:w="4986"/>
            <w:vAlign w:val="top"/>
          </w:tcPr>
          <w:p>
            <w:r>
              <w:rPr>
                <w:rFonts w:ascii="Aptos" w:hAnsi="Aptos" w:eastAsia="Aptos"/>
                <w:sz w:val="19"/>
              </w:rPr>
              <w:t>500</w:t>
            </w:r>
          </w:p>
        </w:tc>
      </w:tr>
      <w:tr>
        <w:tc>
          <w:tcPr>
            <w:tcW w:type="dxa" w:w="4986"/>
            <w:vAlign w:val="top"/>
          </w:tcPr>
          <w:p>
            <w:r>
              <w:rPr>
                <w:rFonts w:ascii="Aptos" w:hAnsi="Aptos" w:eastAsia="Aptos"/>
                <w:sz w:val="19"/>
              </w:rPr>
              <w:t>Ports réseau</w:t>
            </w:r>
          </w:p>
        </w:tc>
        <w:tc>
          <w:tcPr>
            <w:tcW w:type="dxa" w:w="4986"/>
            <w:vAlign w:val="top"/>
          </w:tcPr>
          <w:p>
            <w:r>
              <w:rPr>
                <w:rFonts w:ascii="Aptos" w:hAnsi="Aptos" w:eastAsia="Aptos"/>
                <w:sz w:val="19"/>
              </w:rPr>
              <w:t>2 000</w:t>
            </w:r>
          </w:p>
        </w:tc>
      </w:tr>
      <w:tr>
        <w:tc>
          <w:tcPr>
            <w:tcW w:type="dxa" w:w="4986"/>
            <w:vAlign w:val="top"/>
          </w:tcPr>
          <w:p>
            <w:r>
              <w:rPr>
                <w:rFonts w:ascii="Aptos" w:hAnsi="Aptos" w:eastAsia="Aptos"/>
                <w:sz w:val="19"/>
              </w:rPr>
              <w:t>Adresses IP</w:t>
            </w:r>
          </w:p>
        </w:tc>
        <w:tc>
          <w:tcPr>
            <w:tcW w:type="dxa" w:w="4986"/>
            <w:vAlign w:val="top"/>
          </w:tcPr>
          <w:p>
            <w:r>
              <w:rPr>
                <w:rFonts w:ascii="Aptos" w:hAnsi="Aptos" w:eastAsia="Aptos"/>
                <w:sz w:val="19"/>
              </w:rPr>
              <w:t>environ 500</w:t>
            </w:r>
          </w:p>
        </w:tc>
      </w:tr>
      <w:tr>
        <w:tc>
          <w:tcPr>
            <w:tcW w:type="dxa" w:w="4986"/>
            <w:vAlign w:val="top"/>
          </w:tcPr>
          <w:p>
            <w:r>
              <w:rPr>
                <w:rFonts w:ascii="Aptos" w:hAnsi="Aptos" w:eastAsia="Aptos"/>
                <w:sz w:val="19"/>
              </w:rPr>
              <w:t>VLANs</w:t>
            </w:r>
          </w:p>
        </w:tc>
        <w:tc>
          <w:tcPr>
            <w:tcW w:type="dxa" w:w="4986"/>
            <w:vAlign w:val="top"/>
          </w:tcPr>
          <w:p>
            <w:r>
              <w:rPr>
                <w:rFonts w:ascii="Aptos" w:hAnsi="Aptos" w:eastAsia="Aptos"/>
                <w:sz w:val="19"/>
              </w:rPr>
              <w:t>50</w:t>
            </w:r>
          </w:p>
        </w:tc>
      </w:tr>
      <w:tr>
        <w:tc>
          <w:tcPr>
            <w:tcW w:type="dxa" w:w="4986"/>
            <w:vAlign w:val="top"/>
          </w:tcPr>
          <w:p>
            <w:r>
              <w:rPr>
                <w:rFonts w:ascii="Aptos" w:hAnsi="Aptos" w:eastAsia="Aptos"/>
                <w:sz w:val="19"/>
              </w:rPr>
              <w:t>Modules mémoire Cergy</w:t>
            </w:r>
          </w:p>
        </w:tc>
        <w:tc>
          <w:tcPr>
            <w:tcW w:type="dxa" w:w="4986"/>
            <w:vAlign w:val="top"/>
          </w:tcPr>
          <w:p>
            <w:r>
              <w:rPr>
                <w:rFonts w:ascii="Aptos" w:hAnsi="Aptos" w:eastAsia="Aptos"/>
                <w:sz w:val="19"/>
              </w:rPr>
              <w:t>2 000</w:t>
            </w:r>
          </w:p>
        </w:tc>
      </w:tr>
    </w:tbl>
    <w:p>
      <w:pPr>
        <w:spacing w:after="120" w:line="259" w:lineRule="auto"/>
      </w:pPr>
      <w:r>
        <w:t>Les tests de performance portent sur plusieurs cas représentatifs. Le filtrage des machines actives par entité permet de tester l’index composite sur entities_id et is_deleted. La recherche par numéro de série permet de vérifier l’intérêt d’un accès direct via contrainte d’unicité ou index. L’accès à MV_ALL_INVENTORY permet de démontrer l’apport des vues matérialisées pour les consultations globales.</w:t>
      </w:r>
    </w:p>
    <w:p>
      <w:pPr>
        <w:spacing w:after="120" w:line="259" w:lineRule="auto"/>
      </w:pPr>
      <w:r>
        <w:t>Les résultats attendus sont une amélioration des plans d’exécution : certaines requêtes peuvent passer d’un parcours complet de table à un accès par index, et certaines requêtes globales peuvent s’appuyer sur des vues matérialisées au lieu de recalculer systématiquement les jointures. Le projet reste néanmoins prudent : pour une comparaison industrielle complète, il faudrait benchmarker l’ancien modèle et le nouveau modèle avec les mêmes données, le même serveur et les mêmes requêtes.</w:t>
      </w:r>
    </w:p>
    <w:p>
      <w:pPr>
        <w:pStyle w:val="CodeBlock"/>
        <w:keepLines/>
        <w:shd w:fill="F3F6FA"/>
      </w:pPr>
      <w:r>
        <w:t>EXPLAIN PLAN SET STATEMENT_ID = 'TEST_INDEX' FOR</w:t>
        <w:br/>
        <w:t>SELECT * FROM COMPUTERS_CERGY</w:t>
        <w:br/>
        <w:t>WHERE entities_id = 1 AND is_deleted = 0;</w:t>
        <w:br/>
        <w:br/>
        <w:t>SELECT * FROM TABLE(DBMS_XPLAN.DISPLAY);</w:t>
      </w:r>
    </w:p>
    <w:p>
      <w:pPr>
        <w:pStyle w:val="Heading1"/>
      </w:pPr>
      <w:r>
        <w:t>10. Bilan, limites et améliorations possibles</w:t>
      </w:r>
    </w:p>
    <w:p>
      <w:pPr>
        <w:spacing w:after="120" w:line="259" w:lineRule="auto"/>
      </w:pPr>
      <w:r>
        <w:t>Le projet répond aux principaux attendus du sujet. Il présente une démarche de reverse engineering, une nouvelle structure Oracle, une utilisation concrète des concepts avancés, un jeu de test et des tests de performance. Il montre aussi que les choix techniques sont liés à des problèmes concrets : cohérence des données, gestion multi-sites, sécurité, optimisation et maintenabilité.</w:t>
      </w:r>
    </w:p>
    <w:p>
      <w:pPr>
        <w:spacing w:after="120" w:line="259" w:lineRule="auto"/>
      </w:pPr>
      <w:r>
        <w:t>Cependant, certaines limites doivent être assumées. La BDDR est principalement modélisée dans les scripts : selon l’environnement disponible, elle peut ne pas être déployée sur deux serveurs Oracle physiques. La comparaison avec l’ancienne base GLPI est surtout structurelle et basée sur les plans d’exécution du nouveau modèle. Enfin, certains choix, comme les index bitmap ou les vues matérialisées en refresh périodique, devraient être validés plus finement dans un contexte de production réel.</w:t>
      </w:r>
    </w:p>
    <w:p>
      <w:pPr>
        <w:spacing w:after="120" w:line="259" w:lineRule="auto"/>
      </w:pPr>
      <w:r>
        <w:t>Ces limites ne remettent pas en cause le projet, mais elles montrent les pistes d’amélioration possibles. Une version plus avancée pourrait déployer réellement deux instances Oracle, ajouter des materialized view logs pour tester le FAST REFRESH, comparer les performances avec une base GLPI/MySQL sur les mêmes données, et automatiser davantage les tests d’intégrité.</w:t>
      </w:r>
    </w:p>
    <w:tbl>
      <w:tblPr>
        <w:tblStyle w:val="TableGrid"/>
        <w:tblW w:type="auto" w:w="0"/>
        <w:jc w:val="center"/>
        <w:tblLook w:firstColumn="1" w:firstRow="1" w:lastColumn="0" w:lastRow="0" w:noHBand="0" w:noVBand="1" w:val="04A0"/>
        <w:tblBorders>
          <w:top w:val="single" w:sz="6" w:space="0" w:color="B7BDC7"/>
          <w:left w:val="single" w:sz="6" w:space="0" w:color="B7BDC7"/>
          <w:bottom w:val="single" w:sz="6" w:space="0" w:color="B7BDC7"/>
          <w:right w:val="single" w:sz="6" w:space="0" w:color="B7BDC7"/>
          <w:insideH w:val="single" w:sz="6" w:space="0" w:color="B7BDC7"/>
          <w:insideV w:val="single" w:sz="6" w:space="0" w:color="B7BDC7"/>
        </w:tblBorders>
      </w:tblPr>
      <w:tblGrid>
        <w:gridCol w:w="4986"/>
        <w:gridCol w:w="4986"/>
      </w:tblGrid>
      <w:tr>
        <w:tc>
          <w:tcPr>
            <w:tcW w:type="dxa" w:w="4986"/>
            <w:shd w:fill="1F4E79"/>
          </w:tcPr>
          <w:p>
            <w:r>
              <w:rPr>
                <w:rFonts w:ascii="Aptos" w:hAnsi="Aptos" w:eastAsia="Aptos"/>
                <w:b/>
                <w:color w:val="FFFFFF"/>
                <w:sz w:val="19"/>
              </w:rPr>
              <w:t>Point fort</w:t>
            </w:r>
          </w:p>
        </w:tc>
        <w:tc>
          <w:tcPr>
            <w:tcW w:type="dxa" w:w="4986"/>
            <w:shd w:fill="1F4E79"/>
          </w:tcPr>
          <w:p>
            <w:r>
              <w:rPr>
                <w:rFonts w:ascii="Aptos" w:hAnsi="Aptos" w:eastAsia="Aptos"/>
                <w:b/>
                <w:color w:val="FFFFFF"/>
                <w:sz w:val="19"/>
              </w:rPr>
              <w:t>Impact</w:t>
            </w:r>
          </w:p>
        </w:tc>
      </w:tr>
      <w:tr>
        <w:tc>
          <w:tcPr>
            <w:tcW w:type="dxa" w:w="4986"/>
            <w:vAlign w:val="top"/>
          </w:tcPr>
          <w:p>
            <w:r>
              <w:rPr>
                <w:rFonts w:ascii="Aptos" w:hAnsi="Aptos" w:eastAsia="Aptos"/>
                <w:sz w:val="19"/>
              </w:rPr>
              <w:t>Intégrité référentielle renforcée</w:t>
            </w:r>
          </w:p>
        </w:tc>
        <w:tc>
          <w:tcPr>
            <w:tcW w:type="dxa" w:w="4986"/>
            <w:vAlign w:val="top"/>
          </w:tcPr>
          <w:p>
            <w:r>
              <w:rPr>
                <w:rFonts w:ascii="Aptos" w:hAnsi="Aptos" w:eastAsia="Aptos"/>
                <w:sz w:val="19"/>
              </w:rPr>
              <w:t>Moins de risques de données orphelines</w:t>
            </w:r>
          </w:p>
        </w:tc>
      </w:tr>
      <w:tr>
        <w:tc>
          <w:tcPr>
            <w:tcW w:type="dxa" w:w="4986"/>
            <w:vAlign w:val="top"/>
          </w:tcPr>
          <w:p>
            <w:r>
              <w:rPr>
                <w:rFonts w:ascii="Aptos" w:hAnsi="Aptos" w:eastAsia="Aptos"/>
                <w:sz w:val="19"/>
              </w:rPr>
              <w:t>Séparation multi-sites</w:t>
            </w:r>
          </w:p>
        </w:tc>
        <w:tc>
          <w:tcPr>
            <w:tcW w:type="dxa" w:w="4986"/>
            <w:vAlign w:val="top"/>
          </w:tcPr>
          <w:p>
            <w:r>
              <w:rPr>
                <w:rFonts w:ascii="Aptos" w:hAnsi="Aptos" w:eastAsia="Aptos"/>
                <w:sz w:val="19"/>
              </w:rPr>
              <w:t>Architecture plus adaptée à Cergy et Pau</w:t>
            </w:r>
          </w:p>
        </w:tc>
      </w:tr>
      <w:tr>
        <w:tc>
          <w:tcPr>
            <w:tcW w:type="dxa" w:w="4986"/>
            <w:vAlign w:val="top"/>
          </w:tcPr>
          <w:p>
            <w:r>
              <w:rPr>
                <w:rFonts w:ascii="Aptos" w:hAnsi="Aptos" w:eastAsia="Aptos"/>
                <w:sz w:val="19"/>
              </w:rPr>
              <w:t>PL/SQL métier</w:t>
            </w:r>
          </w:p>
        </w:tc>
        <w:tc>
          <w:tcPr>
            <w:tcW w:type="dxa" w:w="4986"/>
            <w:vAlign w:val="top"/>
          </w:tcPr>
          <w:p>
            <w:r>
              <w:rPr>
                <w:rFonts w:ascii="Aptos" w:hAnsi="Aptos" w:eastAsia="Aptos"/>
                <w:sz w:val="19"/>
              </w:rPr>
              <w:t>Automatisation, audit et transactions</w:t>
            </w:r>
          </w:p>
        </w:tc>
      </w:tr>
      <w:tr>
        <w:tc>
          <w:tcPr>
            <w:tcW w:type="dxa" w:w="4986"/>
            <w:vAlign w:val="top"/>
          </w:tcPr>
          <w:p>
            <w:r>
              <w:rPr>
                <w:rFonts w:ascii="Aptos" w:hAnsi="Aptos" w:eastAsia="Aptos"/>
                <w:sz w:val="19"/>
              </w:rPr>
              <w:t>Vues et vues matérialisées</w:t>
            </w:r>
          </w:p>
        </w:tc>
        <w:tc>
          <w:tcPr>
            <w:tcW w:type="dxa" w:w="4986"/>
            <w:vAlign w:val="top"/>
          </w:tcPr>
          <w:p>
            <w:r>
              <w:rPr>
                <w:rFonts w:ascii="Aptos" w:hAnsi="Aptos" w:eastAsia="Aptos"/>
                <w:sz w:val="19"/>
              </w:rPr>
              <w:t>Accès simplifié et reporting plus efficace</w:t>
            </w:r>
          </w:p>
        </w:tc>
      </w:tr>
      <w:tr>
        <w:tc>
          <w:tcPr>
            <w:tcW w:type="dxa" w:w="4986"/>
            <w:vAlign w:val="top"/>
          </w:tcPr>
          <w:p>
            <w:r>
              <w:rPr>
                <w:rFonts w:ascii="Aptos" w:hAnsi="Aptos" w:eastAsia="Aptos"/>
                <w:sz w:val="19"/>
              </w:rPr>
              <w:t>Index et clusters</w:t>
            </w:r>
          </w:p>
        </w:tc>
        <w:tc>
          <w:tcPr>
            <w:tcW w:type="dxa" w:w="4986"/>
            <w:vAlign w:val="top"/>
          </w:tcPr>
          <w:p>
            <w:r>
              <w:rPr>
                <w:rFonts w:ascii="Aptos" w:hAnsi="Aptos" w:eastAsia="Aptos"/>
                <w:sz w:val="19"/>
              </w:rPr>
              <w:t>Optimisation ciblée des requêtes fréquentes</w:t>
            </w:r>
          </w:p>
        </w:tc>
      </w:tr>
    </w:tbl>
    <w:p>
      <w:pPr>
        <w:pStyle w:val="Heading1"/>
      </w:pPr>
      <w:r>
        <w:t>11. Conclusion</w:t>
      </w:r>
    </w:p>
    <w:p>
      <w:pPr>
        <w:spacing w:after="120" w:line="259" w:lineRule="auto"/>
      </w:pPr>
      <w:r>
        <w:t>Ce mini-projet montre comment une base issue d’un modèle applicatif comme GLPI peut être repensée avec une logique Oracle plus structurée. Le travail réalisé ne vise pas à remplacer GLPI en production, mais à démontrer comment les concepts de bases de données avancées peuvent améliorer un périmètre concret : gestion du matériel, des utilisateurs, du réseau et des sites.</w:t>
      </w:r>
    </w:p>
    <w:p>
      <w:pPr>
        <w:spacing w:after="120" w:line="259" w:lineRule="auto"/>
      </w:pPr>
      <w:r>
        <w:t>La nouvelle architecture apporte plusieurs améliorations : intégrité référentielle, transactions, tablespaces dédiés, rôles Oracle, profil de sécurité, index adaptés, clusters, vues, vues matérialisées, PL/SQL et logique de base répartie. Ces éléments renforcent la robustesse, la performance et la maintenabilité du modèle.</w:t>
      </w:r>
    </w:p>
    <w:p>
      <w:pPr>
        <w:spacing w:after="120" w:line="259" w:lineRule="auto"/>
      </w:pPr>
      <w:r>
        <w:t>Le projet met également en évidence une logique professionnelle : partir d’un diagnostic, définir des choix techniques justifiés, tester la structure et expliquer les limites. C’est cette cohérence globale qui constitue la valeur principale du travail réalisé.</w:t>
      </w:r>
    </w:p>
    <w:p>
      <w:pPr>
        <w:pStyle w:val="Heading1"/>
      </w:pPr>
      <w:r>
        <w:t>Sources utilisées</w:t>
      </w:r>
    </w:p>
    <w:p>
      <w:pPr>
        <w:pStyle w:val="ListBullet"/>
        <w:spacing w:after="40"/>
      </w:pPr>
      <w:r>
        <w:t>Sujet du mini-projet GLPI — ING2 Bases de données avancées, CY Tech, année 2025-2026.</w:t>
      </w:r>
    </w:p>
    <w:p>
      <w:pPr>
        <w:pStyle w:val="ListBullet"/>
        <w:spacing w:after="40"/>
      </w:pPr>
      <w:r>
        <w:t>Dépôt GitHub du projet : https://github.com/Axelctrt/bdd.git</w:t>
      </w:r>
    </w:p>
    <w:p>
      <w:pPr>
        <w:pStyle w:val="ListBullet"/>
        <w:spacing w:after="40"/>
      </w:pPr>
      <w:r>
        <w:t>Support oral fourni par l’équipe : support_oral_glpi_oracle.docx.</w:t>
      </w:r>
    </w:p>
    <w:p>
      <w:pPr>
        <w:pStyle w:val="ListBullet"/>
        <w:spacing w:after="40"/>
      </w:pPr>
      <w:r>
        <w:t>Scripts SQL et PL/SQL du dépôt : 01_reverse_engineering.sql, 02_tablespaces_roles_users.sql, 03_ddl_tables_clusters_index.sql, 04_vues.sql, 05_plsql_triggers_procedures.sql, 06_jeu_de_test.sql, 07_tests_performance.sql.</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8"/>
      </w:rPr>
      <w:t>Mini-projet GLPI Oracle — CY Tech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27" w:right="113"/>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GLPI Oracle CY Tech</dc:title>
  <dc:subject>Mini-projet bases de données avancées</dc:subject>
  <dc:creator>Équipe projet</dc:creator>
  <cp:keywords/>
  <dc:description>Document généré à partir du dépôt GitHub et du support oral.</dc:description>
  <cp:lastModifiedBy/>
  <cp:revision>1</cp:revision>
  <dcterms:created xsi:type="dcterms:W3CDTF">2013-12-23T23:15:00Z</dcterms:created>
  <dcterms:modified xsi:type="dcterms:W3CDTF">2013-12-23T23:15:00Z</dcterms:modified>
  <cp:category/>
</cp:coreProperties>
</file>