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381"/>
      </w:tblGrid>
      <w:tr w:rsidR="00EE5D0C" w:rsidTr="00181A49">
        <w:trPr>
          <w:trHeight w:val="1124"/>
        </w:trPr>
        <w:tc>
          <w:tcPr>
            <w:tcW w:w="4248" w:type="dxa"/>
          </w:tcPr>
          <w:p w:rsidR="00EE5D0C" w:rsidRDefault="00EE5D0C" w:rsidP="00EE5D0C">
            <w:bookmarkStart w:id="0" w:name="_GoBack"/>
            <w:bookmarkEnd w:id="0"/>
            <w:r w:rsidRPr="001D570B">
              <w:rPr>
                <w:noProof/>
                <w:lang w:eastAsia="de-DE"/>
              </w:rPr>
              <w:drawing>
                <wp:inline distT="0" distB="0" distL="0" distR="0" wp14:anchorId="3B3CDD60" wp14:editId="29058857">
                  <wp:extent cx="1486894" cy="642693"/>
                  <wp:effectExtent l="0" t="0" r="0" b="5080"/>
                  <wp:docPr id="1" name="Grafik 1" descr="C:\Users\franck.GDD\Pictures\G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k.GDD\Pictures\GD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633" cy="821959"/>
                          </a:xfrm>
                          <a:prstGeom prst="rect">
                            <a:avLst/>
                          </a:prstGeom>
                          <a:noFill/>
                          <a:ln>
                            <a:noFill/>
                          </a:ln>
                        </pic:spPr>
                      </pic:pic>
                    </a:graphicData>
                  </a:graphic>
                </wp:inline>
              </w:drawing>
            </w:r>
          </w:p>
        </w:tc>
        <w:tc>
          <w:tcPr>
            <w:tcW w:w="5381" w:type="dxa"/>
          </w:tcPr>
          <w:p w:rsidR="00EE5D0C" w:rsidRPr="00EE5D0C" w:rsidRDefault="00EE5D0C" w:rsidP="00EE5D0C">
            <w:pPr>
              <w:spacing w:after="0"/>
              <w:jc w:val="right"/>
              <w:rPr>
                <w:rFonts w:ascii="DIN Offc" w:hAnsi="DIN Offc" w:cs="DIN Offc"/>
                <w:szCs w:val="20"/>
              </w:rPr>
            </w:pPr>
            <w:r w:rsidRPr="00EE5D0C">
              <w:rPr>
                <w:rFonts w:ascii="DIN Offc" w:hAnsi="DIN Offc" w:cs="DIN Offc"/>
                <w:szCs w:val="20"/>
              </w:rPr>
              <w:t>Gesellschaft für Datenschutz und Datensiche</w:t>
            </w:r>
            <w:r w:rsidRPr="00EE5D0C">
              <w:rPr>
                <w:rFonts w:ascii="DIN Offc" w:hAnsi="DIN Offc" w:cs="DIN Offc"/>
                <w:szCs w:val="20"/>
              </w:rPr>
              <w:t>r</w:t>
            </w:r>
            <w:r w:rsidRPr="00EE5D0C">
              <w:rPr>
                <w:rFonts w:ascii="DIN Offc" w:hAnsi="DIN Offc" w:cs="DIN Offc"/>
                <w:szCs w:val="20"/>
              </w:rPr>
              <w:t>heit e.V.</w:t>
            </w:r>
          </w:p>
          <w:p w:rsidR="00EE5D0C" w:rsidRPr="00EE5D0C" w:rsidRDefault="00EE5D0C" w:rsidP="00EE5D0C">
            <w:pPr>
              <w:spacing w:after="0"/>
              <w:jc w:val="right"/>
              <w:rPr>
                <w:rFonts w:ascii="DIN Offc" w:hAnsi="DIN Offc" w:cs="DIN Offc"/>
                <w:szCs w:val="20"/>
              </w:rPr>
            </w:pPr>
            <w:r w:rsidRPr="00EE5D0C">
              <w:rPr>
                <w:rFonts w:ascii="DIN Offc" w:hAnsi="DIN Offc" w:cs="DIN Offc"/>
                <w:szCs w:val="20"/>
              </w:rPr>
              <w:t>Heinrich-Böll-Ring 10, 53119 Bonn</w:t>
            </w:r>
          </w:p>
          <w:p w:rsidR="00EE5D0C" w:rsidRPr="00EE5D0C" w:rsidRDefault="00EE5D0C" w:rsidP="00EE5D0C">
            <w:pPr>
              <w:spacing w:after="0"/>
              <w:jc w:val="right"/>
              <w:rPr>
                <w:rFonts w:ascii="DIN Offc" w:hAnsi="DIN Offc" w:cs="DIN Offc"/>
                <w:szCs w:val="20"/>
              </w:rPr>
            </w:pPr>
            <w:r w:rsidRPr="00EE5D0C">
              <w:rPr>
                <w:rFonts w:ascii="DIN Offc" w:hAnsi="DIN Offc" w:cs="DIN Offc"/>
                <w:szCs w:val="20"/>
              </w:rPr>
              <w:t>info@gdd.de</w:t>
            </w:r>
          </w:p>
          <w:p w:rsidR="00EE5D0C" w:rsidRPr="00EE5D0C" w:rsidRDefault="00EE5D0C" w:rsidP="00EE5D0C">
            <w:pPr>
              <w:spacing w:after="0"/>
              <w:jc w:val="right"/>
              <w:rPr>
                <w:rFonts w:ascii="DIN Offc" w:hAnsi="DIN Offc" w:cs="DIN Offc"/>
                <w:szCs w:val="20"/>
              </w:rPr>
            </w:pPr>
            <w:r w:rsidRPr="00EE5D0C">
              <w:rPr>
                <w:rFonts w:ascii="DIN Offc" w:hAnsi="DIN Offc" w:cs="DIN Offc"/>
                <w:szCs w:val="20"/>
              </w:rPr>
              <w:t>www.gdd.de</w:t>
            </w:r>
          </w:p>
          <w:p w:rsidR="00EE5D0C" w:rsidRPr="00EE5D0C" w:rsidRDefault="00EE5D0C" w:rsidP="00EE5D0C">
            <w:pPr>
              <w:rPr>
                <w:rFonts w:ascii="DIN Offc" w:hAnsi="DIN Offc" w:cs="DIN Offc"/>
              </w:rPr>
            </w:pPr>
          </w:p>
        </w:tc>
      </w:tr>
    </w:tbl>
    <w:p w:rsidR="007B2B60" w:rsidRDefault="006821B5" w:rsidP="006821B5">
      <w:pPr>
        <w:pStyle w:val="berschrift1"/>
        <w:jc w:val="center"/>
      </w:pPr>
      <w:r>
        <w:t>Unternehmensrichtlinie zur Datenschutz-Organisation</w:t>
      </w:r>
      <w:r w:rsidR="00622FC9" w:rsidRPr="00622FC9">
        <w:t>.</w:t>
      </w:r>
    </w:p>
    <w:p w:rsidR="00711081" w:rsidRPr="00711081" w:rsidRDefault="00711081" w:rsidP="00711081">
      <w:pPr>
        <w:rPr>
          <w:sz w:val="16"/>
          <w:szCs w:val="16"/>
        </w:rPr>
      </w:pPr>
    </w:p>
    <w:p w:rsidR="006821B5" w:rsidRPr="00CD3CB7" w:rsidRDefault="006821B5" w:rsidP="006821B5">
      <w:pPr>
        <w:pBdr>
          <w:top w:val="single" w:sz="4" w:space="1" w:color="auto"/>
          <w:left w:val="single" w:sz="4" w:space="4" w:color="auto"/>
          <w:bottom w:val="single" w:sz="4" w:space="1" w:color="auto"/>
          <w:right w:val="single" w:sz="4" w:space="4" w:color="auto"/>
        </w:pBdr>
        <w:rPr>
          <w:sz w:val="22"/>
        </w:rPr>
      </w:pPr>
      <w:r w:rsidRPr="00CD3CB7">
        <w:rPr>
          <w:sz w:val="22"/>
        </w:rPr>
        <w:t>Die Umsetzung der DS-GVO und weiterer datenschutzrechtlicher Vorgaben macht es erforderlich, von Se</w:t>
      </w:r>
      <w:r w:rsidRPr="00CD3CB7">
        <w:rPr>
          <w:sz w:val="22"/>
        </w:rPr>
        <w:t>i</w:t>
      </w:r>
      <w:r w:rsidRPr="00CD3CB7">
        <w:rPr>
          <w:sz w:val="22"/>
        </w:rPr>
        <w:t>ten der Geschäftsleitung klare Anweisungen zu erteilen. Wie ist mit personenbezogenen Daten zu verfa</w:t>
      </w:r>
      <w:r w:rsidRPr="00CD3CB7">
        <w:rPr>
          <w:sz w:val="22"/>
        </w:rPr>
        <w:t>h</w:t>
      </w:r>
      <w:r w:rsidRPr="00CD3CB7">
        <w:rPr>
          <w:sz w:val="22"/>
        </w:rPr>
        <w:t>ren, welches Selbstbild hat das Unternehmen bei der Datenverarbeitung und welche konkreten Ziele we</w:t>
      </w:r>
      <w:r w:rsidRPr="00CD3CB7">
        <w:rPr>
          <w:sz w:val="22"/>
        </w:rPr>
        <w:t>r</w:t>
      </w:r>
      <w:r w:rsidRPr="00CD3CB7">
        <w:rPr>
          <w:sz w:val="22"/>
        </w:rPr>
        <w:t>den bei der Datenschutzorganisation verfolgt?</w:t>
      </w:r>
    </w:p>
    <w:p w:rsidR="006821B5" w:rsidRPr="00CD3CB7" w:rsidRDefault="006821B5" w:rsidP="006821B5">
      <w:pPr>
        <w:pBdr>
          <w:top w:val="single" w:sz="4" w:space="1" w:color="auto"/>
          <w:left w:val="single" w:sz="4" w:space="4" w:color="auto"/>
          <w:bottom w:val="single" w:sz="4" w:space="1" w:color="auto"/>
          <w:right w:val="single" w:sz="4" w:space="4" w:color="auto"/>
        </w:pBdr>
        <w:rPr>
          <w:sz w:val="22"/>
        </w:rPr>
      </w:pPr>
      <w:r w:rsidRPr="00CD3CB7">
        <w:rPr>
          <w:sz w:val="22"/>
        </w:rPr>
        <w:t>Das nachfolgende Muster stellt einen Vorschlag dar. Details können und sollen unternehmensspezifisch ergänzt werden. So verweist das Muster auf mehrere fiktive Anlagen, die ggf. konkret mit Inhalt gefüllt werden könnten:</w:t>
      </w:r>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Anlage 1 - Checkliste zur Beachtung der Anforderungen an Privacy-</w:t>
      </w:r>
      <w:proofErr w:type="spellStart"/>
      <w:r w:rsidRPr="006821B5">
        <w:t>by</w:t>
      </w:r>
      <w:proofErr w:type="spellEnd"/>
      <w:r w:rsidRPr="006821B5">
        <w:t xml:space="preserve"> Design/Privacy-</w:t>
      </w:r>
      <w:proofErr w:type="spellStart"/>
      <w:r w:rsidRPr="006821B5">
        <w:t>by</w:t>
      </w:r>
      <w:proofErr w:type="spellEnd"/>
      <w:r w:rsidRPr="006821B5">
        <w:t>-Default</w:t>
      </w:r>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Anlage 2 - Risikominimierung durch Datenschutz-Folgenabschätzung</w:t>
      </w:r>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Anlage 3 - Verhaltensmaßnahmen bei einer Datenpanne</w:t>
      </w:r>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 xml:space="preserve">Anlage 4 - </w:t>
      </w:r>
      <w:proofErr w:type="spellStart"/>
      <w:r w:rsidRPr="006821B5">
        <w:t>Datenportabilität</w:t>
      </w:r>
      <w:proofErr w:type="spellEnd"/>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Anlage 5 - Umgang mit personenbezogene Daten/Erlaubnistatbestände der DS-GVO</w:t>
      </w:r>
    </w:p>
    <w:p w:rsidR="006821B5"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Anlage 6 - Kompatibilitätscheck bei Zweckänderung</w:t>
      </w:r>
    </w:p>
    <w:p w:rsidR="007B2B60" w:rsidRPr="006821B5" w:rsidRDefault="006821B5" w:rsidP="006821B5">
      <w:pPr>
        <w:pBdr>
          <w:top w:val="single" w:sz="4" w:space="1" w:color="auto"/>
          <w:left w:val="single" w:sz="4" w:space="4" w:color="auto"/>
          <w:bottom w:val="single" w:sz="4" w:space="1" w:color="auto"/>
          <w:right w:val="single" w:sz="4" w:space="4" w:color="auto"/>
        </w:pBdr>
        <w:spacing w:after="0"/>
        <w:ind w:firstLine="709"/>
      </w:pPr>
      <w:r w:rsidRPr="006821B5">
        <w:t>Arbeitsanweisungen zur Datensicherheit (siehe Punkt 9.3)</w:t>
      </w:r>
      <w:r w:rsidR="00711081" w:rsidRPr="006821B5">
        <w:t xml:space="preserve"> </w:t>
      </w:r>
    </w:p>
    <w:p w:rsidR="00622FC9" w:rsidRDefault="00622FC9" w:rsidP="008763FC">
      <w:pPr>
        <w:pStyle w:val="berschrift2"/>
      </w:pPr>
    </w:p>
    <w:p w:rsidR="00711081" w:rsidRDefault="00711081" w:rsidP="00940272">
      <w:pPr>
        <w:sectPr w:rsidR="00711081" w:rsidSect="001E68DF">
          <w:footerReference w:type="default" r:id="rId10"/>
          <w:pgSz w:w="11906" w:h="16838"/>
          <w:pgMar w:top="568" w:right="1133" w:bottom="993" w:left="1134" w:header="708" w:footer="708" w:gutter="0"/>
          <w:cols w:space="708"/>
          <w:docGrid w:linePitch="360"/>
        </w:sectPr>
      </w:pPr>
    </w:p>
    <w:p w:rsidR="006821B5" w:rsidRPr="00EE5D0C" w:rsidRDefault="006821B5" w:rsidP="00EE5D0C">
      <w:pPr>
        <w:pStyle w:val="berschrift1"/>
      </w:pPr>
      <w:r>
        <w:lastRenderedPageBreak/>
        <w:t>Muster-Richtlinie zur Datenschutzorganisation bei der XY-GmbH</w:t>
      </w:r>
    </w:p>
    <w:p w:rsidR="006821B5" w:rsidRDefault="006821B5" w:rsidP="00940272">
      <w:pPr>
        <w:rPr>
          <w:rFonts w:ascii="DIN Offc" w:eastAsiaTheme="majorEastAsia" w:hAnsi="DIN Offc" w:cstheme="majorBidi"/>
          <w:color w:val="C5015A"/>
          <w:sz w:val="26"/>
          <w:szCs w:val="26"/>
        </w:rPr>
      </w:pPr>
      <w:r w:rsidRPr="006821B5">
        <w:rPr>
          <w:rFonts w:ascii="DIN Offc" w:eastAsiaTheme="majorEastAsia" w:hAnsi="DIN Offc" w:cstheme="majorBidi"/>
          <w:color w:val="C5015A"/>
          <w:sz w:val="26"/>
          <w:szCs w:val="26"/>
        </w:rPr>
        <w:t>1. Grundsätze</w:t>
      </w:r>
    </w:p>
    <w:p w:rsidR="006821B5" w:rsidRPr="00EE5D0C" w:rsidRDefault="006821B5" w:rsidP="006821B5">
      <w:pPr>
        <w:rPr>
          <w:szCs w:val="20"/>
        </w:rPr>
      </w:pPr>
      <w:r w:rsidRPr="00EE5D0C">
        <w:rPr>
          <w:szCs w:val="20"/>
        </w:rPr>
        <w:t>Der Schutz personenbezogener Daten ist uns ein wicht</w:t>
      </w:r>
      <w:r w:rsidRPr="00EE5D0C">
        <w:rPr>
          <w:szCs w:val="20"/>
        </w:rPr>
        <w:t>i</w:t>
      </w:r>
      <w:r w:rsidRPr="00EE5D0C">
        <w:rPr>
          <w:szCs w:val="20"/>
        </w:rPr>
        <w:t>ges Anliegen. Deshalb verarbeiten wir die personenbez</w:t>
      </w:r>
      <w:r w:rsidRPr="00EE5D0C">
        <w:rPr>
          <w:szCs w:val="20"/>
        </w:rPr>
        <w:t>o</w:t>
      </w:r>
      <w:r w:rsidRPr="00EE5D0C">
        <w:rPr>
          <w:szCs w:val="20"/>
        </w:rPr>
        <w:t>genen Daten unserer Mitarbeiter, Kunden sowie G</w:t>
      </w:r>
      <w:r w:rsidRPr="00EE5D0C">
        <w:rPr>
          <w:szCs w:val="20"/>
        </w:rPr>
        <w:t>e</w:t>
      </w:r>
      <w:r w:rsidRPr="00EE5D0C">
        <w:rPr>
          <w:szCs w:val="20"/>
        </w:rPr>
        <w:t>schäftspartner in Übereinstimmung mit den anwendb</w:t>
      </w:r>
      <w:r w:rsidRPr="00EE5D0C">
        <w:rPr>
          <w:szCs w:val="20"/>
        </w:rPr>
        <w:t>a</w:t>
      </w:r>
      <w:r w:rsidRPr="00EE5D0C">
        <w:rPr>
          <w:szCs w:val="20"/>
        </w:rPr>
        <w:t>ren Rechtsvorschriften zum Schutz personenbezogener Daten und zur Datensicherheit.</w:t>
      </w:r>
    </w:p>
    <w:p w:rsidR="006821B5" w:rsidRPr="00EE5D0C" w:rsidRDefault="006821B5" w:rsidP="006821B5">
      <w:pPr>
        <w:rPr>
          <w:szCs w:val="20"/>
        </w:rPr>
      </w:pPr>
      <w:r w:rsidRPr="00EE5D0C">
        <w:rPr>
          <w:szCs w:val="20"/>
        </w:rPr>
        <w:t>In dieser Datenschutzrichtlinie wird beschrieben, welche Arten von personenbezogenen Daten wir erheben, wie diese Daten genutzt werden, an wen sie übermittelt werden und welche Wahlmöglichkeiten und Rechte b</w:t>
      </w:r>
      <w:r w:rsidRPr="00EE5D0C">
        <w:rPr>
          <w:szCs w:val="20"/>
        </w:rPr>
        <w:t>e</w:t>
      </w:r>
      <w:r w:rsidRPr="00EE5D0C">
        <w:rPr>
          <w:szCs w:val="20"/>
        </w:rPr>
        <w:t>troffene Personen im Zusammenhang mit unserer Vera</w:t>
      </w:r>
      <w:r w:rsidRPr="00EE5D0C">
        <w:rPr>
          <w:szCs w:val="20"/>
        </w:rPr>
        <w:t>r</w:t>
      </w:r>
      <w:r w:rsidRPr="00EE5D0C">
        <w:rPr>
          <w:szCs w:val="20"/>
        </w:rPr>
        <w:t xml:space="preserve">beitung der Daten haben. Außerdem beschreiben wir, mit welchen Maßnahmen wir die Sicherheit der Daten gewährleisten und wie betroffene Personen Kontakt mit uns aufnehmen können, wenn Sie Fragen zu </w:t>
      </w:r>
      <w:proofErr w:type="gramStart"/>
      <w:r w:rsidRPr="00EE5D0C">
        <w:rPr>
          <w:szCs w:val="20"/>
        </w:rPr>
        <w:t>unseren</w:t>
      </w:r>
      <w:proofErr w:type="gramEnd"/>
      <w:r w:rsidRPr="00EE5D0C">
        <w:rPr>
          <w:szCs w:val="20"/>
        </w:rPr>
        <w:t xml:space="preserve"> Datenschutzpraxis haben.</w:t>
      </w:r>
    </w:p>
    <w:p w:rsidR="006821B5" w:rsidRPr="00EE5D0C" w:rsidRDefault="006821B5" w:rsidP="006821B5">
      <w:pPr>
        <w:rPr>
          <w:szCs w:val="20"/>
        </w:rPr>
      </w:pPr>
      <w:r w:rsidRPr="00EE5D0C">
        <w:rPr>
          <w:szCs w:val="20"/>
        </w:rPr>
        <w:lastRenderedPageBreak/>
        <w:t>Diese Richtlinie regelt die datenschutzkonforme Inform</w:t>
      </w:r>
      <w:r w:rsidRPr="00EE5D0C">
        <w:rPr>
          <w:szCs w:val="20"/>
        </w:rPr>
        <w:t>a</w:t>
      </w:r>
      <w:r w:rsidRPr="00EE5D0C">
        <w:rPr>
          <w:szCs w:val="20"/>
        </w:rPr>
        <w:t>tionsverarbeitung und die insoweit bei der XY-GmbH bestehenden Verantwortlichkeiten. Alle Mitarbeiter sind zur Einhaltung der Richtlinie verpflichtet.</w:t>
      </w:r>
    </w:p>
    <w:p w:rsidR="00711081" w:rsidRPr="00EE5D0C" w:rsidRDefault="006821B5" w:rsidP="006821B5">
      <w:pPr>
        <w:rPr>
          <w:szCs w:val="20"/>
        </w:rPr>
      </w:pPr>
      <w:r w:rsidRPr="00EE5D0C">
        <w:rPr>
          <w:szCs w:val="20"/>
        </w:rPr>
        <w:t>Sie richtet sich an</w:t>
      </w:r>
    </w:p>
    <w:p w:rsidR="006821B5" w:rsidRPr="00EE5D0C" w:rsidRDefault="006821B5" w:rsidP="00C22E73">
      <w:pPr>
        <w:pStyle w:val="Listenabsatz"/>
        <w:numPr>
          <w:ilvl w:val="0"/>
          <w:numId w:val="1"/>
        </w:numPr>
        <w:rPr>
          <w:szCs w:val="20"/>
        </w:rPr>
      </w:pPr>
      <w:r w:rsidRPr="00EE5D0C">
        <w:rPr>
          <w:szCs w:val="20"/>
        </w:rPr>
        <w:t>die Personen oder Abteilungen, die über den Einsatz/die Bereitstellung eines Anwendung</w:t>
      </w:r>
      <w:r w:rsidRPr="00EE5D0C">
        <w:rPr>
          <w:szCs w:val="20"/>
        </w:rPr>
        <w:t>s</w:t>
      </w:r>
      <w:r w:rsidRPr="00EE5D0C">
        <w:rPr>
          <w:szCs w:val="20"/>
        </w:rPr>
        <w:t>systems entscheiden (hier kann entsprechend der Unternehmensorganisation der Name ei</w:t>
      </w:r>
      <w:r w:rsidRPr="00EE5D0C">
        <w:rPr>
          <w:szCs w:val="20"/>
        </w:rPr>
        <w:t>n</w:t>
      </w:r>
      <w:r w:rsidRPr="00EE5D0C">
        <w:rPr>
          <w:szCs w:val="20"/>
        </w:rPr>
        <w:t>gesetzt werden: z.B. IT-Abteilung, Systemadm</w:t>
      </w:r>
      <w:r w:rsidRPr="00EE5D0C">
        <w:rPr>
          <w:szCs w:val="20"/>
        </w:rPr>
        <w:t>i</w:t>
      </w:r>
      <w:r w:rsidRPr="00EE5D0C">
        <w:rPr>
          <w:szCs w:val="20"/>
        </w:rPr>
        <w:t>nistrator = nachstehend ist insoweit von IT-Abteilung die Rede);</w:t>
      </w:r>
    </w:p>
    <w:p w:rsidR="006821B5" w:rsidRPr="00EE5D0C" w:rsidRDefault="006821B5" w:rsidP="005B0C32">
      <w:pPr>
        <w:pStyle w:val="Listenabsatz"/>
        <w:numPr>
          <w:ilvl w:val="0"/>
          <w:numId w:val="1"/>
        </w:numPr>
        <w:rPr>
          <w:szCs w:val="20"/>
        </w:rPr>
      </w:pPr>
      <w:r w:rsidRPr="00EE5D0C">
        <w:rPr>
          <w:szCs w:val="20"/>
        </w:rPr>
        <w:t>die Personen oder Abteilungen, die über die Nutzung des Systems für ihre Aufgaben en</w:t>
      </w:r>
      <w:r w:rsidRPr="00EE5D0C">
        <w:rPr>
          <w:szCs w:val="20"/>
        </w:rPr>
        <w:t>t</w:t>
      </w:r>
      <w:r w:rsidRPr="00EE5D0C">
        <w:rPr>
          <w:szCs w:val="20"/>
        </w:rPr>
        <w:t>scheiden (betroffen sind i.d.R. die Fachabteilu</w:t>
      </w:r>
      <w:r w:rsidRPr="00EE5D0C">
        <w:rPr>
          <w:szCs w:val="20"/>
        </w:rPr>
        <w:t>n</w:t>
      </w:r>
      <w:r w:rsidRPr="00EE5D0C">
        <w:rPr>
          <w:szCs w:val="20"/>
        </w:rPr>
        <w:t>gen; ggf. können diese benannt werden);</w:t>
      </w:r>
    </w:p>
    <w:p w:rsidR="006821B5" w:rsidRPr="00EE5D0C" w:rsidRDefault="006821B5" w:rsidP="00C93249">
      <w:pPr>
        <w:pStyle w:val="Listenabsatz"/>
        <w:numPr>
          <w:ilvl w:val="0"/>
          <w:numId w:val="1"/>
        </w:numPr>
        <w:rPr>
          <w:szCs w:val="20"/>
        </w:rPr>
      </w:pPr>
      <w:r w:rsidRPr="00EE5D0C">
        <w:rPr>
          <w:szCs w:val="20"/>
        </w:rPr>
        <w:t>Benutzer, d.h. diejenigen, die das zur Verfügung gestellte System für die Erledigung ihrer betrie</w:t>
      </w:r>
      <w:r w:rsidRPr="00EE5D0C">
        <w:rPr>
          <w:szCs w:val="20"/>
        </w:rPr>
        <w:t>b</w:t>
      </w:r>
      <w:r w:rsidRPr="00EE5D0C">
        <w:rPr>
          <w:szCs w:val="20"/>
        </w:rPr>
        <w:t>lichen Aufgaben nutzen (bei Speicherung pers</w:t>
      </w:r>
      <w:r w:rsidRPr="00EE5D0C">
        <w:rPr>
          <w:szCs w:val="20"/>
        </w:rPr>
        <w:t>o</w:t>
      </w:r>
      <w:r w:rsidRPr="00EE5D0C">
        <w:rPr>
          <w:szCs w:val="20"/>
        </w:rPr>
        <w:t>nenbezogener Daten auf einem Arbeitsplat</w:t>
      </w:r>
      <w:r w:rsidRPr="00EE5D0C">
        <w:rPr>
          <w:szCs w:val="20"/>
        </w:rPr>
        <w:t>z</w:t>
      </w:r>
      <w:r w:rsidRPr="00EE5D0C">
        <w:rPr>
          <w:szCs w:val="20"/>
        </w:rPr>
        <w:t>rechner entscheidet der einzelne Benutzer ggf. auch über die im System erfolgende Verarbe</w:t>
      </w:r>
      <w:r w:rsidRPr="00EE5D0C">
        <w:rPr>
          <w:szCs w:val="20"/>
        </w:rPr>
        <w:t>i</w:t>
      </w:r>
      <w:r w:rsidRPr="00EE5D0C">
        <w:rPr>
          <w:szCs w:val="20"/>
        </w:rPr>
        <w:t>tung und die dazu verwendeten Programme),</w:t>
      </w:r>
    </w:p>
    <w:p w:rsidR="006821B5" w:rsidRPr="00EE5D0C" w:rsidRDefault="006821B5" w:rsidP="00A223A1">
      <w:pPr>
        <w:pStyle w:val="Listenabsatz"/>
        <w:numPr>
          <w:ilvl w:val="0"/>
          <w:numId w:val="1"/>
        </w:numPr>
        <w:rPr>
          <w:szCs w:val="20"/>
        </w:rPr>
      </w:pPr>
      <w:r w:rsidRPr="00EE5D0C">
        <w:rPr>
          <w:szCs w:val="20"/>
        </w:rPr>
        <w:lastRenderedPageBreak/>
        <w:t>den betrieblichen Datenschutzbeauftragten (DSB), der ihre Umsetzung beratend und ko</w:t>
      </w:r>
      <w:r w:rsidRPr="00EE5D0C">
        <w:rPr>
          <w:szCs w:val="20"/>
        </w:rPr>
        <w:t>n</w:t>
      </w:r>
      <w:r w:rsidRPr="00EE5D0C">
        <w:rPr>
          <w:szCs w:val="20"/>
        </w:rPr>
        <w:t>trollierend begleitet und die ihm speziell zug</w:t>
      </w:r>
      <w:r w:rsidRPr="00EE5D0C">
        <w:rPr>
          <w:szCs w:val="20"/>
        </w:rPr>
        <w:t>e</w:t>
      </w:r>
      <w:r w:rsidRPr="00EE5D0C">
        <w:rPr>
          <w:szCs w:val="20"/>
        </w:rPr>
        <w:t>wiesenen Aufgaben wahrzunehmen hat.</w:t>
      </w:r>
    </w:p>
    <w:p w:rsidR="006821B5" w:rsidRPr="00EE5D0C" w:rsidRDefault="006821B5" w:rsidP="006821B5">
      <w:pPr>
        <w:rPr>
          <w:szCs w:val="20"/>
        </w:rPr>
      </w:pPr>
      <w:r w:rsidRPr="00EE5D0C">
        <w:rPr>
          <w:szCs w:val="20"/>
        </w:rPr>
        <w:t>Dabei gelten folgende Grundsätze:</w:t>
      </w:r>
    </w:p>
    <w:p w:rsidR="006821B5" w:rsidRPr="00EE5D0C" w:rsidRDefault="006821B5" w:rsidP="00DF3BC0">
      <w:pPr>
        <w:pStyle w:val="Listenabsatz"/>
        <w:numPr>
          <w:ilvl w:val="0"/>
          <w:numId w:val="2"/>
        </w:numPr>
        <w:rPr>
          <w:szCs w:val="20"/>
        </w:rPr>
      </w:pPr>
      <w:r w:rsidRPr="00EE5D0C">
        <w:rPr>
          <w:szCs w:val="20"/>
        </w:rPr>
        <w:t>Die DV-Hard- und Software sind für betriebliche Aufgaben, und zwar für die jeweils vorgeseh</w:t>
      </w:r>
      <w:r w:rsidRPr="00EE5D0C">
        <w:rPr>
          <w:szCs w:val="20"/>
        </w:rPr>
        <w:t>e</w:t>
      </w:r>
      <w:r w:rsidRPr="00EE5D0C">
        <w:rPr>
          <w:szCs w:val="20"/>
        </w:rPr>
        <w:t>nen Zwecke, zu verwenden und gegen Verlust und Manipulation zu sichern. Eine Nutzung für private Zwecke bedarf der ausdrücklichen G</w:t>
      </w:r>
      <w:r w:rsidRPr="00EE5D0C">
        <w:rPr>
          <w:szCs w:val="20"/>
        </w:rPr>
        <w:t>e</w:t>
      </w:r>
      <w:r w:rsidRPr="00EE5D0C">
        <w:rPr>
          <w:szCs w:val="20"/>
        </w:rPr>
        <w:t>nehmigung.</w:t>
      </w:r>
    </w:p>
    <w:p w:rsidR="006821B5" w:rsidRPr="00EE5D0C" w:rsidRDefault="006821B5" w:rsidP="00C226B0">
      <w:pPr>
        <w:pStyle w:val="Listenabsatz"/>
        <w:numPr>
          <w:ilvl w:val="0"/>
          <w:numId w:val="2"/>
        </w:numPr>
        <w:rPr>
          <w:szCs w:val="20"/>
        </w:rPr>
      </w:pPr>
      <w:r w:rsidRPr="00EE5D0C">
        <w:rPr>
          <w:szCs w:val="20"/>
        </w:rPr>
        <w:t>Jeder Mitarbeiter ist in seinem Verantwortung</w:t>
      </w:r>
      <w:r w:rsidRPr="00EE5D0C">
        <w:rPr>
          <w:szCs w:val="20"/>
        </w:rPr>
        <w:t>s</w:t>
      </w:r>
      <w:r w:rsidRPr="00EE5D0C">
        <w:rPr>
          <w:szCs w:val="20"/>
        </w:rPr>
        <w:t>bereich für die Umsetzung der Richtlinie ve</w:t>
      </w:r>
      <w:r w:rsidRPr="00EE5D0C">
        <w:rPr>
          <w:szCs w:val="20"/>
        </w:rPr>
        <w:t>r</w:t>
      </w:r>
      <w:r w:rsidRPr="00EE5D0C">
        <w:rPr>
          <w:szCs w:val="20"/>
        </w:rPr>
        <w:t>antwortlich. Die Einhaltung muss von ihm r</w:t>
      </w:r>
      <w:r w:rsidRPr="00EE5D0C">
        <w:rPr>
          <w:szCs w:val="20"/>
        </w:rPr>
        <w:t>e</w:t>
      </w:r>
      <w:r w:rsidRPr="00EE5D0C">
        <w:rPr>
          <w:szCs w:val="20"/>
        </w:rPr>
        <w:t>gelmäßig kontrolliert werden.</w:t>
      </w:r>
    </w:p>
    <w:p w:rsidR="006821B5" w:rsidRPr="00EE5D0C" w:rsidRDefault="006821B5" w:rsidP="006E6AEB">
      <w:pPr>
        <w:pStyle w:val="Listenabsatz"/>
        <w:numPr>
          <w:ilvl w:val="0"/>
          <w:numId w:val="2"/>
        </w:numPr>
        <w:rPr>
          <w:szCs w:val="20"/>
        </w:rPr>
      </w:pPr>
      <w:r w:rsidRPr="00EE5D0C">
        <w:rPr>
          <w:szCs w:val="20"/>
        </w:rPr>
        <w:t>Die für die Verarbeitungen der eingesetzten Sy</w:t>
      </w:r>
      <w:r w:rsidRPr="00EE5D0C">
        <w:rPr>
          <w:szCs w:val="20"/>
        </w:rPr>
        <w:t>s</w:t>
      </w:r>
      <w:r w:rsidRPr="00EE5D0C">
        <w:rPr>
          <w:szCs w:val="20"/>
        </w:rPr>
        <w:t>teme Verantwortlichen stellen sicher, dass ihre Mitarbeiter (Benutzer) über diese Richtlinie i</w:t>
      </w:r>
      <w:r w:rsidRPr="00EE5D0C">
        <w:rPr>
          <w:szCs w:val="20"/>
        </w:rPr>
        <w:t>n</w:t>
      </w:r>
      <w:r w:rsidRPr="00EE5D0C">
        <w:rPr>
          <w:szCs w:val="20"/>
        </w:rPr>
        <w:t>formiert werden; das gilt auch für temporär B</w:t>
      </w:r>
      <w:r w:rsidRPr="00EE5D0C">
        <w:rPr>
          <w:szCs w:val="20"/>
        </w:rPr>
        <w:t>e</w:t>
      </w:r>
      <w:r w:rsidRPr="00EE5D0C">
        <w:rPr>
          <w:szCs w:val="20"/>
        </w:rPr>
        <w:t>schäftigte.</w:t>
      </w:r>
    </w:p>
    <w:p w:rsidR="006821B5" w:rsidRPr="00EE5D0C" w:rsidRDefault="006821B5" w:rsidP="00C626D9">
      <w:pPr>
        <w:pStyle w:val="Listenabsatz"/>
        <w:numPr>
          <w:ilvl w:val="0"/>
          <w:numId w:val="2"/>
        </w:numPr>
        <w:rPr>
          <w:szCs w:val="20"/>
        </w:rPr>
      </w:pPr>
      <w:r w:rsidRPr="00EE5D0C">
        <w:rPr>
          <w:szCs w:val="20"/>
        </w:rPr>
        <w:t>Der Datenschutzbeauftragte berät bei der U</w:t>
      </w:r>
      <w:r w:rsidRPr="00EE5D0C">
        <w:rPr>
          <w:szCs w:val="20"/>
        </w:rPr>
        <w:t>m</w:t>
      </w:r>
      <w:r w:rsidRPr="00EE5D0C">
        <w:rPr>
          <w:szCs w:val="20"/>
        </w:rPr>
        <w:t>setzung der Richtlinie und prüft deren Einha</w:t>
      </w:r>
      <w:r w:rsidRPr="00EE5D0C">
        <w:rPr>
          <w:szCs w:val="20"/>
        </w:rPr>
        <w:t>l</w:t>
      </w:r>
      <w:r w:rsidRPr="00EE5D0C">
        <w:rPr>
          <w:szCs w:val="20"/>
        </w:rPr>
        <w:t>tung. Insoweit sind alle Adressaten der Richtlinie dem DSB auskunftspflichtig.</w:t>
      </w:r>
    </w:p>
    <w:p w:rsidR="00711081" w:rsidRDefault="006821B5" w:rsidP="006821B5">
      <w:pPr>
        <w:pStyle w:val="berschrift2"/>
        <w:rPr>
          <w:sz w:val="16"/>
          <w:szCs w:val="16"/>
        </w:rPr>
      </w:pPr>
      <w:r>
        <w:t>2. Der betriebliche Datenschut</w:t>
      </w:r>
      <w:r>
        <w:t>z</w:t>
      </w:r>
      <w:r>
        <w:t>beauftra</w:t>
      </w:r>
      <w:r>
        <w:t>g</w:t>
      </w:r>
      <w:r>
        <w:t>te/Datenschutzkoordinatoren</w:t>
      </w:r>
    </w:p>
    <w:p w:rsidR="00D22AF5" w:rsidRPr="00EE5D0C" w:rsidRDefault="00D22AF5" w:rsidP="00D22AF5">
      <w:pPr>
        <w:rPr>
          <w:szCs w:val="20"/>
        </w:rPr>
      </w:pPr>
      <w:r w:rsidRPr="00EE5D0C">
        <w:rPr>
          <w:b/>
          <w:szCs w:val="20"/>
        </w:rPr>
        <w:t>2.1</w:t>
      </w:r>
      <w:r w:rsidRPr="00EE5D0C">
        <w:rPr>
          <w:szCs w:val="20"/>
        </w:rPr>
        <w:t xml:space="preserve"> Die XY-GmbH hat nach Maßgabe des Artikels 37 DS-GVO einen betrieblichen Datenschutzbeauftragten (DSB) und einen Abwesenheitsvertreter bestellt. Die Kontak</w:t>
      </w:r>
      <w:r w:rsidRPr="00EE5D0C">
        <w:rPr>
          <w:szCs w:val="20"/>
        </w:rPr>
        <w:t>t</w:t>
      </w:r>
      <w:r w:rsidRPr="00EE5D0C">
        <w:rPr>
          <w:szCs w:val="20"/>
        </w:rPr>
        <w:t>daten des Datenschutzbeauftragten sind zu finden unter: […]</w:t>
      </w:r>
    </w:p>
    <w:p w:rsidR="00D22AF5" w:rsidRPr="00EE5D0C" w:rsidRDefault="00D22AF5" w:rsidP="00D22AF5">
      <w:pPr>
        <w:rPr>
          <w:szCs w:val="20"/>
        </w:rPr>
      </w:pPr>
      <w:r w:rsidRPr="00EE5D0C">
        <w:rPr>
          <w:szCs w:val="20"/>
        </w:rPr>
        <w:t>Der DSB nimmt die ihm kraft Gesetzes und aus dieser Richtlinie zugewiesenen Aufgaben bei weisungsfreier Anwendung seines Fachwissens sowie seiner beruflichen Qualifikation wahr.</w:t>
      </w:r>
    </w:p>
    <w:p w:rsidR="00D22AF5" w:rsidRPr="00EE5D0C" w:rsidRDefault="00D22AF5" w:rsidP="00D22AF5">
      <w:pPr>
        <w:rPr>
          <w:szCs w:val="20"/>
        </w:rPr>
      </w:pPr>
      <w:r w:rsidRPr="00EE5D0C">
        <w:rPr>
          <w:b/>
          <w:szCs w:val="20"/>
        </w:rPr>
        <w:t>2.2</w:t>
      </w:r>
      <w:r w:rsidRPr="00EE5D0C">
        <w:rPr>
          <w:szCs w:val="20"/>
        </w:rPr>
        <w:t xml:space="preserve"> Der Datenschutzbeauftragte unterrichtet und berät die Unternehmensleitung sowie die Beschäftigten hi</w:t>
      </w:r>
      <w:r w:rsidRPr="00EE5D0C">
        <w:rPr>
          <w:szCs w:val="20"/>
        </w:rPr>
        <w:t>n</w:t>
      </w:r>
      <w:r w:rsidRPr="00EE5D0C">
        <w:rPr>
          <w:szCs w:val="20"/>
        </w:rPr>
        <w:t>sichtlich ihrer Datenschutzpflichten. Ihm obliegt die Überwachung der Einhaltung der Datenschutzvorschri</w:t>
      </w:r>
      <w:r w:rsidRPr="00EE5D0C">
        <w:rPr>
          <w:szCs w:val="20"/>
        </w:rPr>
        <w:t>f</w:t>
      </w:r>
      <w:r w:rsidRPr="00EE5D0C">
        <w:rPr>
          <w:szCs w:val="20"/>
        </w:rPr>
        <w:t>ten sowie der Strategien des Verantwortlichen für den Schutz personenbezogener Daten einschließlich der Z</w:t>
      </w:r>
      <w:r w:rsidRPr="00EE5D0C">
        <w:rPr>
          <w:szCs w:val="20"/>
        </w:rPr>
        <w:t>u</w:t>
      </w:r>
      <w:r w:rsidRPr="00EE5D0C">
        <w:rPr>
          <w:szCs w:val="20"/>
        </w:rPr>
        <w:t>weisung von Zuständigkeiten, der Sensibilisierung und Schulung der Mitarbeiter.</w:t>
      </w:r>
    </w:p>
    <w:p w:rsidR="00D22AF5" w:rsidRPr="00EE5D0C" w:rsidRDefault="00D22AF5" w:rsidP="00D22AF5">
      <w:pPr>
        <w:rPr>
          <w:szCs w:val="20"/>
        </w:rPr>
      </w:pPr>
      <w:r w:rsidRPr="00EE5D0C">
        <w:rPr>
          <w:szCs w:val="20"/>
        </w:rPr>
        <w:t>Im Falle risikoreicher Datenverarbeitungen steht der DSB dem Verantwortlichem beratend bei der Abschätzung des Risikos zur Seite.</w:t>
      </w:r>
    </w:p>
    <w:p w:rsidR="00D22AF5" w:rsidRPr="00EE5D0C" w:rsidRDefault="00D22AF5" w:rsidP="00D22AF5">
      <w:pPr>
        <w:rPr>
          <w:szCs w:val="20"/>
        </w:rPr>
      </w:pPr>
      <w:r w:rsidRPr="00EE5D0C">
        <w:rPr>
          <w:b/>
          <w:szCs w:val="20"/>
        </w:rPr>
        <w:t>2.3</w:t>
      </w:r>
      <w:r w:rsidRPr="00EE5D0C">
        <w:rPr>
          <w:szCs w:val="20"/>
        </w:rPr>
        <w:t xml:space="preserve"> Der DSB berichtet unmittelbar der Unternehmensle</w:t>
      </w:r>
      <w:r w:rsidRPr="00EE5D0C">
        <w:rPr>
          <w:szCs w:val="20"/>
        </w:rPr>
        <w:t>i</w:t>
      </w:r>
      <w:r w:rsidRPr="00EE5D0C">
        <w:rPr>
          <w:szCs w:val="20"/>
        </w:rPr>
        <w:t>tung.</w:t>
      </w:r>
    </w:p>
    <w:p w:rsidR="00D22AF5" w:rsidRPr="00EE5D0C" w:rsidRDefault="00D22AF5" w:rsidP="00D22AF5">
      <w:pPr>
        <w:rPr>
          <w:szCs w:val="20"/>
        </w:rPr>
      </w:pPr>
      <w:r w:rsidRPr="00EE5D0C">
        <w:rPr>
          <w:b/>
          <w:szCs w:val="20"/>
        </w:rPr>
        <w:lastRenderedPageBreak/>
        <w:t>2.4</w:t>
      </w:r>
      <w:r w:rsidRPr="00EE5D0C">
        <w:rPr>
          <w:szCs w:val="20"/>
        </w:rPr>
        <w:t xml:space="preserve"> Der DSB wird frühzeitig in alle Datenschutzfragen eingebunden und wird sowohl von der Unternehmensle</w:t>
      </w:r>
      <w:r w:rsidRPr="00EE5D0C">
        <w:rPr>
          <w:szCs w:val="20"/>
        </w:rPr>
        <w:t>i</w:t>
      </w:r>
      <w:r w:rsidRPr="00EE5D0C">
        <w:rPr>
          <w:szCs w:val="20"/>
        </w:rPr>
        <w:t>tung als auch den Beschäftigten bei der Erfüllung seiner Aufgaben unterstützt.</w:t>
      </w:r>
    </w:p>
    <w:p w:rsidR="00D22AF5" w:rsidRPr="00EE5D0C" w:rsidRDefault="00D22AF5" w:rsidP="00D22AF5">
      <w:pPr>
        <w:rPr>
          <w:szCs w:val="20"/>
        </w:rPr>
      </w:pPr>
      <w:r w:rsidRPr="00EE5D0C">
        <w:rPr>
          <w:b/>
          <w:szCs w:val="20"/>
        </w:rPr>
        <w:t xml:space="preserve">2.5 </w:t>
      </w:r>
      <w:r w:rsidRPr="00EE5D0C">
        <w:rPr>
          <w:szCs w:val="20"/>
        </w:rPr>
        <w:t>Soweit es sich aufgrund organisatorischer Gegebe</w:t>
      </w:r>
      <w:r w:rsidRPr="00EE5D0C">
        <w:rPr>
          <w:szCs w:val="20"/>
        </w:rPr>
        <w:t>n</w:t>
      </w:r>
      <w:r w:rsidRPr="00EE5D0C">
        <w:rPr>
          <w:szCs w:val="20"/>
        </w:rPr>
        <w:t>heiten (z.B. bei unselbstständigen externen Filialbetri</w:t>
      </w:r>
      <w:r w:rsidRPr="00EE5D0C">
        <w:rPr>
          <w:szCs w:val="20"/>
        </w:rPr>
        <w:t>e</w:t>
      </w:r>
      <w:r w:rsidRPr="00EE5D0C">
        <w:rPr>
          <w:szCs w:val="20"/>
        </w:rPr>
        <w:t>ben) als notwendig erweist, ernennt die Geschäftsleitung im Benehmen mit dem DSB für die jeweilige Organisat</w:t>
      </w:r>
      <w:r w:rsidRPr="00EE5D0C">
        <w:rPr>
          <w:szCs w:val="20"/>
        </w:rPr>
        <w:t>i</w:t>
      </w:r>
      <w:r w:rsidRPr="00EE5D0C">
        <w:rPr>
          <w:szCs w:val="20"/>
        </w:rPr>
        <w:t>onseinheit einen Datenschutzkoordinator.</w:t>
      </w:r>
    </w:p>
    <w:p w:rsidR="00D22AF5" w:rsidRPr="00EE5D0C" w:rsidRDefault="00D22AF5" w:rsidP="00D22AF5">
      <w:pPr>
        <w:rPr>
          <w:szCs w:val="20"/>
        </w:rPr>
      </w:pPr>
      <w:r w:rsidRPr="00EE5D0C">
        <w:rPr>
          <w:szCs w:val="20"/>
        </w:rPr>
        <w:t>Der Koordinator ist also insoweit ein dem DSB fachlich zugewiesener Mitarbeiter zur Einhaltung der für das Unternehmen geltenden Datenschutz-Vorschriften. Er informiert den DSB über vor Ort aufgetretene Date</w:t>
      </w:r>
      <w:r w:rsidRPr="00EE5D0C">
        <w:rPr>
          <w:szCs w:val="20"/>
        </w:rPr>
        <w:t>n</w:t>
      </w:r>
      <w:r w:rsidRPr="00EE5D0C">
        <w:rPr>
          <w:szCs w:val="20"/>
        </w:rPr>
        <w:t>schutzfragen. Er erhebt die Angaben über in seinem Zuständigkeitsbereich gesondert eingesetzte Verfahren und gibt die Meldung an den DSB weiter.</w:t>
      </w:r>
    </w:p>
    <w:p w:rsidR="00D22AF5" w:rsidRPr="00EE5D0C" w:rsidRDefault="00D22AF5" w:rsidP="00D22AF5">
      <w:pPr>
        <w:rPr>
          <w:szCs w:val="20"/>
        </w:rPr>
      </w:pPr>
      <w:r w:rsidRPr="00EE5D0C">
        <w:rPr>
          <w:b/>
          <w:szCs w:val="20"/>
        </w:rPr>
        <w:t>2.6</w:t>
      </w:r>
      <w:r w:rsidRPr="00EE5D0C">
        <w:rPr>
          <w:szCs w:val="20"/>
        </w:rPr>
        <w:t xml:space="preserve"> Das Unternehmen hat ein Verzeichnis über alle Ve</w:t>
      </w:r>
      <w:r w:rsidRPr="00EE5D0C">
        <w:rPr>
          <w:szCs w:val="20"/>
        </w:rPr>
        <w:t>r</w:t>
      </w:r>
      <w:r w:rsidRPr="00EE5D0C">
        <w:rPr>
          <w:szCs w:val="20"/>
        </w:rPr>
        <w:t>arbeitungsvorgänge zu führen. In jeder Fachabteilung wird mindestens einer Person die Verantwortung übe</w:t>
      </w:r>
      <w:r w:rsidRPr="00EE5D0C">
        <w:rPr>
          <w:szCs w:val="20"/>
        </w:rPr>
        <w:t>r</w:t>
      </w:r>
      <w:r w:rsidRPr="00EE5D0C">
        <w:rPr>
          <w:szCs w:val="20"/>
        </w:rPr>
        <w:t>tragen, die dafür notwendigen Informationen zu den Verfahren der jeweiligen Abteilung zusammenzutragen und diese entsprechend den Anforderungen des Art. 30 DS-GVO zu dokumentieren. Bei Unklarheiten hinsichtlich der gesetzlich geforderten Informationen kann der D</w:t>
      </w:r>
      <w:r w:rsidRPr="00EE5D0C">
        <w:rPr>
          <w:szCs w:val="20"/>
        </w:rPr>
        <w:t>a</w:t>
      </w:r>
      <w:r w:rsidRPr="00EE5D0C">
        <w:rPr>
          <w:szCs w:val="20"/>
        </w:rPr>
        <w:t>tenschutzbeauftragte</w:t>
      </w:r>
    </w:p>
    <w:p w:rsidR="00D22AF5" w:rsidRPr="00EE5D0C" w:rsidRDefault="00D22AF5" w:rsidP="00D22AF5">
      <w:pPr>
        <w:rPr>
          <w:szCs w:val="20"/>
        </w:rPr>
      </w:pPr>
      <w:r w:rsidRPr="00EE5D0C">
        <w:rPr>
          <w:szCs w:val="20"/>
        </w:rPr>
        <w:t>beratend hinzugezogen werden. Dem Datenschutzbeau</w:t>
      </w:r>
      <w:r w:rsidRPr="00EE5D0C">
        <w:rPr>
          <w:szCs w:val="20"/>
        </w:rPr>
        <w:t>f</w:t>
      </w:r>
      <w:r w:rsidRPr="00EE5D0C">
        <w:rPr>
          <w:szCs w:val="20"/>
        </w:rPr>
        <w:t>tragten ist eine Kopie des Verfahrensverzeichnisses zu übergeben.</w:t>
      </w:r>
    </w:p>
    <w:p w:rsidR="00D22AF5" w:rsidRPr="00EE5D0C" w:rsidRDefault="00D22AF5" w:rsidP="00D22AF5">
      <w:pPr>
        <w:rPr>
          <w:szCs w:val="20"/>
        </w:rPr>
      </w:pPr>
      <w:r w:rsidRPr="00EE5D0C">
        <w:rPr>
          <w:szCs w:val="20"/>
        </w:rPr>
        <w:t>Auf Anfrage stellt das Unternehmen der Aufsichtsbehö</w:t>
      </w:r>
      <w:r w:rsidRPr="00EE5D0C">
        <w:rPr>
          <w:szCs w:val="20"/>
        </w:rPr>
        <w:t>r</w:t>
      </w:r>
      <w:r w:rsidRPr="00EE5D0C">
        <w:rPr>
          <w:szCs w:val="20"/>
        </w:rPr>
        <w:t>de das Verzeichnis zur Verfügung. Im Einvernehmen mit der Unternehmensleitung ist hierfür der Datenschutzb</w:t>
      </w:r>
      <w:r w:rsidRPr="00EE5D0C">
        <w:rPr>
          <w:szCs w:val="20"/>
        </w:rPr>
        <w:t>e</w:t>
      </w:r>
      <w:r w:rsidRPr="00EE5D0C">
        <w:rPr>
          <w:szCs w:val="20"/>
        </w:rPr>
        <w:t>auftragte zuständig und arbeitet mit der Aufsichtsbehö</w:t>
      </w:r>
      <w:r w:rsidRPr="00EE5D0C">
        <w:rPr>
          <w:szCs w:val="20"/>
        </w:rPr>
        <w:t>r</w:t>
      </w:r>
      <w:r w:rsidRPr="00EE5D0C">
        <w:rPr>
          <w:szCs w:val="20"/>
        </w:rPr>
        <w:t>de zusammen.</w:t>
      </w:r>
    </w:p>
    <w:p w:rsidR="00D22AF5" w:rsidRPr="00EE5D0C" w:rsidRDefault="00D22AF5" w:rsidP="00D22AF5">
      <w:pPr>
        <w:rPr>
          <w:szCs w:val="20"/>
        </w:rPr>
      </w:pPr>
      <w:r w:rsidRPr="00EE5D0C">
        <w:rPr>
          <w:b/>
          <w:szCs w:val="20"/>
        </w:rPr>
        <w:t>2.7</w:t>
      </w:r>
      <w:r w:rsidRPr="00EE5D0C">
        <w:rPr>
          <w:szCs w:val="20"/>
        </w:rPr>
        <w:t xml:space="preserve"> Jeder Mitarbeiter kann sich unmittelbar mit Hinwe</w:t>
      </w:r>
      <w:r w:rsidRPr="00EE5D0C">
        <w:rPr>
          <w:szCs w:val="20"/>
        </w:rPr>
        <w:t>i</w:t>
      </w:r>
      <w:r w:rsidRPr="00EE5D0C">
        <w:rPr>
          <w:szCs w:val="20"/>
        </w:rPr>
        <w:t>sen, Anregungen oder Beschwerden an den DSB wenden, wobei auf Wunsch absolute Vertraulichkeit gewahrt wird.</w:t>
      </w:r>
    </w:p>
    <w:p w:rsidR="00D22AF5" w:rsidRPr="00EE5D0C" w:rsidRDefault="00D22AF5" w:rsidP="00D22AF5">
      <w:pPr>
        <w:rPr>
          <w:szCs w:val="20"/>
        </w:rPr>
      </w:pPr>
      <w:r w:rsidRPr="00EE5D0C">
        <w:rPr>
          <w:b/>
          <w:szCs w:val="20"/>
        </w:rPr>
        <w:t>2.8</w:t>
      </w:r>
      <w:r w:rsidRPr="00EE5D0C">
        <w:rPr>
          <w:szCs w:val="20"/>
        </w:rPr>
        <w:t xml:space="preserve"> Der DSB berichtet jährlich in einem Tätigkeitsbericht der Geschäftsführung über stattgefundene Prüfungen, Beanstandungen und ggf. noch zu beseitigende Organis</w:t>
      </w:r>
      <w:r w:rsidRPr="00EE5D0C">
        <w:rPr>
          <w:szCs w:val="20"/>
        </w:rPr>
        <w:t>a</w:t>
      </w:r>
      <w:r w:rsidRPr="00EE5D0C">
        <w:rPr>
          <w:szCs w:val="20"/>
        </w:rPr>
        <w:t>tionsmängel. Soweit der Bericht die Verarbeitung von Personaldaten oder Fragen der betrieblichen Organisat</w:t>
      </w:r>
      <w:r w:rsidRPr="00EE5D0C">
        <w:rPr>
          <w:szCs w:val="20"/>
        </w:rPr>
        <w:t>i</w:t>
      </w:r>
      <w:r w:rsidRPr="00EE5D0C">
        <w:rPr>
          <w:szCs w:val="20"/>
        </w:rPr>
        <w:t>on betrifft, wird er auch dem Betriebsrat zugänglich g</w:t>
      </w:r>
      <w:r w:rsidRPr="00EE5D0C">
        <w:rPr>
          <w:szCs w:val="20"/>
        </w:rPr>
        <w:t>e</w:t>
      </w:r>
      <w:r w:rsidRPr="00EE5D0C">
        <w:rPr>
          <w:szCs w:val="20"/>
        </w:rPr>
        <w:t>macht.</w:t>
      </w:r>
    </w:p>
    <w:p w:rsidR="00D22AF5" w:rsidRDefault="00D22AF5" w:rsidP="00D22AF5">
      <w:pPr>
        <w:pStyle w:val="berschrift2"/>
      </w:pPr>
      <w:r w:rsidRPr="00D22AF5">
        <w:t>3. Beschaffung/Hard- und Sof</w:t>
      </w:r>
      <w:r w:rsidRPr="00D22AF5">
        <w:t>t</w:t>
      </w:r>
      <w:r w:rsidRPr="00D22AF5">
        <w:t>ware</w:t>
      </w:r>
    </w:p>
    <w:p w:rsidR="00D22AF5" w:rsidRPr="00EE5D0C" w:rsidRDefault="00D22AF5" w:rsidP="00D22AF5">
      <w:pPr>
        <w:rPr>
          <w:szCs w:val="20"/>
        </w:rPr>
      </w:pPr>
      <w:r w:rsidRPr="00EE5D0C">
        <w:rPr>
          <w:szCs w:val="20"/>
        </w:rPr>
        <w:t>3.1 Die Beschaffung von Hard- und Software erfolgt grundsätzlich auf Anforderung der über die Verarbeitu</w:t>
      </w:r>
      <w:r w:rsidRPr="00EE5D0C">
        <w:rPr>
          <w:szCs w:val="20"/>
        </w:rPr>
        <w:t>n</w:t>
      </w:r>
      <w:r w:rsidRPr="00EE5D0C">
        <w:rPr>
          <w:szCs w:val="20"/>
        </w:rPr>
        <w:t xml:space="preserve">gen entscheidenden Person/Abteilung durch die zentrale </w:t>
      </w:r>
      <w:r w:rsidRPr="00EE5D0C">
        <w:rPr>
          <w:szCs w:val="20"/>
        </w:rPr>
        <w:lastRenderedPageBreak/>
        <w:t>DV-Beschaffung. Bereits bei der Auswahl von Hard-und Software wird das Prinzip der Gewährleistung von Date</w:t>
      </w:r>
      <w:r w:rsidRPr="00EE5D0C">
        <w:rPr>
          <w:szCs w:val="20"/>
        </w:rPr>
        <w:t>n</w:t>
      </w:r>
      <w:r w:rsidRPr="00EE5D0C">
        <w:rPr>
          <w:szCs w:val="20"/>
        </w:rPr>
        <w:t>schutz durch Technikgestaltung und durch datenschut</w:t>
      </w:r>
      <w:r w:rsidRPr="00EE5D0C">
        <w:rPr>
          <w:szCs w:val="20"/>
        </w:rPr>
        <w:t>z</w:t>
      </w:r>
      <w:r w:rsidRPr="00EE5D0C">
        <w:rPr>
          <w:szCs w:val="20"/>
        </w:rPr>
        <w:t>freundliche Voreinstellungen als ein tragendes Kriterium beachtet. Die Verfahrensanweisung „Checkliste zur B</w:t>
      </w:r>
      <w:r w:rsidRPr="00EE5D0C">
        <w:rPr>
          <w:szCs w:val="20"/>
        </w:rPr>
        <w:t>e</w:t>
      </w:r>
      <w:r w:rsidRPr="00EE5D0C">
        <w:rPr>
          <w:szCs w:val="20"/>
        </w:rPr>
        <w:t>achtung der Anforderungen an Privacy-</w:t>
      </w:r>
      <w:proofErr w:type="spellStart"/>
      <w:r w:rsidRPr="00EE5D0C">
        <w:rPr>
          <w:szCs w:val="20"/>
        </w:rPr>
        <w:t>by</w:t>
      </w:r>
      <w:proofErr w:type="spellEnd"/>
      <w:r w:rsidRPr="00EE5D0C">
        <w:rPr>
          <w:szCs w:val="20"/>
        </w:rPr>
        <w:t xml:space="preserve"> D</w:t>
      </w:r>
      <w:r w:rsidRPr="00EE5D0C">
        <w:rPr>
          <w:szCs w:val="20"/>
        </w:rPr>
        <w:t>e</w:t>
      </w:r>
      <w:r w:rsidRPr="00EE5D0C">
        <w:rPr>
          <w:szCs w:val="20"/>
        </w:rPr>
        <w:t>sign/Privacy-</w:t>
      </w:r>
      <w:proofErr w:type="spellStart"/>
      <w:r w:rsidRPr="00EE5D0C">
        <w:rPr>
          <w:szCs w:val="20"/>
        </w:rPr>
        <w:t>by</w:t>
      </w:r>
      <w:proofErr w:type="spellEnd"/>
      <w:r w:rsidRPr="00EE5D0C">
        <w:rPr>
          <w:szCs w:val="20"/>
        </w:rPr>
        <w:t>-Default“ (Anlage 1) ist maßgebend.</w:t>
      </w:r>
      <w:r w:rsidRPr="00EE5D0C">
        <w:rPr>
          <w:rStyle w:val="Funotenzeichen"/>
          <w:szCs w:val="20"/>
        </w:rPr>
        <w:footnoteReference w:id="1"/>
      </w:r>
    </w:p>
    <w:p w:rsidR="00D22AF5" w:rsidRPr="00EE5D0C" w:rsidRDefault="00D22AF5" w:rsidP="00D22AF5">
      <w:pPr>
        <w:rPr>
          <w:szCs w:val="20"/>
        </w:rPr>
      </w:pPr>
      <w:r w:rsidRPr="00EE5D0C">
        <w:rPr>
          <w:b/>
          <w:szCs w:val="20"/>
        </w:rPr>
        <w:t>3.2</w:t>
      </w:r>
      <w:r w:rsidRPr="00EE5D0C">
        <w:rPr>
          <w:szCs w:val="20"/>
        </w:rPr>
        <w:t xml:space="preserve"> Falls mit der Beschaffung ein neues Verfahren der Verarbeitung personenbezogener Daten eingeführt we</w:t>
      </w:r>
      <w:r w:rsidRPr="00EE5D0C">
        <w:rPr>
          <w:szCs w:val="20"/>
        </w:rPr>
        <w:t>r</w:t>
      </w:r>
      <w:r w:rsidRPr="00EE5D0C">
        <w:rPr>
          <w:szCs w:val="20"/>
        </w:rPr>
        <w:t>den soll, ist der Datenschutzbeauftragte rechtzeitig vorab von der anfordernden Stelle zu informieren (siehe hierzu Näheres in Ziff. 5.2). Die Beschaffung erfolgt erst nach Stellungnahme des DSB. Der DSB berät dahingehend, ob die Durchführung einer Datenschutz-Folgenabschätzung erforderlich ist. Die Durchführung einer Datenschutz-Folgenabschätzung richtet sich nach der Verfahrensa</w:t>
      </w:r>
      <w:r w:rsidRPr="00EE5D0C">
        <w:rPr>
          <w:szCs w:val="20"/>
        </w:rPr>
        <w:t>n</w:t>
      </w:r>
      <w:r w:rsidRPr="00EE5D0C">
        <w:rPr>
          <w:szCs w:val="20"/>
        </w:rPr>
        <w:t>weisung „Risikominimierung durch Datenschutz-Folgenabschätzung“ (Anlage 2).</w:t>
      </w:r>
      <w:r w:rsidRPr="00EE5D0C">
        <w:rPr>
          <w:rStyle w:val="Funotenzeichen"/>
          <w:szCs w:val="20"/>
        </w:rPr>
        <w:footnoteReference w:id="2"/>
      </w:r>
    </w:p>
    <w:p w:rsidR="00D22AF5" w:rsidRPr="00EE5D0C" w:rsidRDefault="00D22AF5" w:rsidP="00D22AF5">
      <w:pPr>
        <w:rPr>
          <w:szCs w:val="20"/>
        </w:rPr>
      </w:pPr>
      <w:r w:rsidRPr="00EE5D0C">
        <w:rPr>
          <w:b/>
          <w:szCs w:val="20"/>
        </w:rPr>
        <w:t>3.3</w:t>
      </w:r>
      <w:r w:rsidRPr="00EE5D0C">
        <w:rPr>
          <w:szCs w:val="20"/>
        </w:rPr>
        <w:t xml:space="preserve"> Private Hard- und Software dürfen nicht zur Verarbe</w:t>
      </w:r>
      <w:r w:rsidRPr="00EE5D0C">
        <w:rPr>
          <w:szCs w:val="20"/>
        </w:rPr>
        <w:t>i</w:t>
      </w:r>
      <w:r w:rsidRPr="00EE5D0C">
        <w:rPr>
          <w:szCs w:val="20"/>
        </w:rPr>
        <w:t>tung personenbezogener Daten Verwendung finden. Die dienstliche Nutzung privater Hard- und Software im he</w:t>
      </w:r>
      <w:r w:rsidRPr="00EE5D0C">
        <w:rPr>
          <w:szCs w:val="20"/>
        </w:rPr>
        <w:t>i</w:t>
      </w:r>
      <w:r w:rsidRPr="00EE5D0C">
        <w:rPr>
          <w:szCs w:val="20"/>
        </w:rPr>
        <w:t>mischen und außerbetrieblichen Bereich (z.B. private Notebooks) bedarf der Genehmigung durch die IT-Abteilung im Einzelfall.</w:t>
      </w:r>
    </w:p>
    <w:p w:rsidR="00D22AF5" w:rsidRPr="00EE5D0C" w:rsidRDefault="00D22AF5" w:rsidP="00D22AF5">
      <w:pPr>
        <w:rPr>
          <w:szCs w:val="20"/>
        </w:rPr>
      </w:pPr>
      <w:r w:rsidRPr="00EE5D0C">
        <w:rPr>
          <w:b/>
          <w:szCs w:val="20"/>
        </w:rPr>
        <w:t>3.4</w:t>
      </w:r>
      <w:r w:rsidRPr="00EE5D0C">
        <w:rPr>
          <w:szCs w:val="20"/>
        </w:rPr>
        <w:t xml:space="preserve"> Die IT-Abteilung führt ein Verzeichnis der eingeset</w:t>
      </w:r>
      <w:r w:rsidRPr="00EE5D0C">
        <w:rPr>
          <w:szCs w:val="20"/>
        </w:rPr>
        <w:t>z</w:t>
      </w:r>
      <w:r w:rsidRPr="00EE5D0C">
        <w:rPr>
          <w:szCs w:val="20"/>
        </w:rPr>
        <w:t>ten Hardware und der verwendeten Anwendungspr</w:t>
      </w:r>
      <w:r w:rsidRPr="00EE5D0C">
        <w:rPr>
          <w:szCs w:val="20"/>
        </w:rPr>
        <w:t>o</w:t>
      </w:r>
      <w:r w:rsidRPr="00EE5D0C">
        <w:rPr>
          <w:szCs w:val="20"/>
        </w:rPr>
        <w:t>gramme. Der DSB erhält eine Kopie (alternativ: Der DSB kann auf das Verzeichnis jederzeit zugreifen).</w:t>
      </w:r>
    </w:p>
    <w:p w:rsidR="00D22AF5" w:rsidRPr="00EE5D0C" w:rsidRDefault="00D22AF5" w:rsidP="00D22AF5">
      <w:pPr>
        <w:rPr>
          <w:szCs w:val="20"/>
        </w:rPr>
      </w:pPr>
      <w:r w:rsidRPr="00EE5D0C">
        <w:rPr>
          <w:b/>
          <w:szCs w:val="20"/>
        </w:rPr>
        <w:t>3.5</w:t>
      </w:r>
      <w:r w:rsidRPr="00EE5D0C">
        <w:rPr>
          <w:szCs w:val="20"/>
        </w:rPr>
        <w:t xml:space="preserve"> Bei Verdacht des Diebstahls von Hard- und Software, des unbefugten Zugriffs auf personenbezogene Daten, von Sabotage etc. sind die DV-Abteilung und der DSB unverzüglich zu informieren. Näheres regelt die Verfa</w:t>
      </w:r>
      <w:r w:rsidRPr="00EE5D0C">
        <w:rPr>
          <w:szCs w:val="20"/>
        </w:rPr>
        <w:t>h</w:t>
      </w:r>
      <w:r w:rsidRPr="00EE5D0C">
        <w:rPr>
          <w:szCs w:val="20"/>
        </w:rPr>
        <w:t>rensanweisung „Verhaltensmaßnahmen bei einer Date</w:t>
      </w:r>
      <w:r w:rsidRPr="00EE5D0C">
        <w:rPr>
          <w:szCs w:val="20"/>
        </w:rPr>
        <w:t>n</w:t>
      </w:r>
      <w:r w:rsidRPr="00EE5D0C">
        <w:rPr>
          <w:szCs w:val="20"/>
        </w:rPr>
        <w:t>panne“ (Anlage 3).</w:t>
      </w:r>
      <w:r w:rsidRPr="00EE5D0C">
        <w:rPr>
          <w:rStyle w:val="Funotenzeichen"/>
          <w:szCs w:val="20"/>
        </w:rPr>
        <w:footnoteReference w:id="3"/>
      </w:r>
    </w:p>
    <w:p w:rsidR="00D22AF5" w:rsidRDefault="00D22AF5" w:rsidP="00D22AF5">
      <w:pPr>
        <w:pStyle w:val="berschrift2"/>
      </w:pPr>
      <w:r w:rsidRPr="00D22AF5">
        <w:t>4. Verpflichtung/Schulung der Mitarbeiter</w:t>
      </w:r>
    </w:p>
    <w:p w:rsidR="00D22AF5" w:rsidRPr="00EE5D0C" w:rsidRDefault="00D22AF5" w:rsidP="00D22AF5">
      <w:pPr>
        <w:rPr>
          <w:szCs w:val="20"/>
        </w:rPr>
      </w:pPr>
      <w:r w:rsidRPr="00EE5D0C">
        <w:rPr>
          <w:b/>
          <w:szCs w:val="20"/>
        </w:rPr>
        <w:t>4.1</w:t>
      </w:r>
      <w:r w:rsidRPr="00EE5D0C">
        <w:rPr>
          <w:szCs w:val="20"/>
        </w:rPr>
        <w:t xml:space="preserve"> Jeder Mitarbeiter, der Umgang mit personenbezog</w:t>
      </w:r>
      <w:r w:rsidRPr="00EE5D0C">
        <w:rPr>
          <w:szCs w:val="20"/>
        </w:rPr>
        <w:t>e</w:t>
      </w:r>
      <w:r w:rsidRPr="00EE5D0C">
        <w:rPr>
          <w:szCs w:val="20"/>
        </w:rPr>
        <w:t>nen Daten hat, ist auf einen vertraulichen Umgang mit personenbezogenen Daten und die Einhaltung dieser Richtlinie zu verpflichten.</w:t>
      </w:r>
    </w:p>
    <w:p w:rsidR="00D22AF5" w:rsidRPr="00EE5D0C" w:rsidRDefault="00D22AF5" w:rsidP="00D22AF5">
      <w:pPr>
        <w:rPr>
          <w:szCs w:val="20"/>
        </w:rPr>
      </w:pPr>
      <w:r w:rsidRPr="00EE5D0C">
        <w:rPr>
          <w:b/>
          <w:szCs w:val="20"/>
        </w:rPr>
        <w:t>4.2</w:t>
      </w:r>
      <w:r w:rsidRPr="00EE5D0C">
        <w:rPr>
          <w:szCs w:val="20"/>
        </w:rPr>
        <w:t xml:space="preserve"> Die Verpflichtung erfolgt unter Verwendung des hierzu vorgesehenen Formulars und unter Aushändigung des von dem DSB erstellten Merkblatts durch die Pers</w:t>
      </w:r>
      <w:r w:rsidRPr="00EE5D0C">
        <w:rPr>
          <w:szCs w:val="20"/>
        </w:rPr>
        <w:t>o</w:t>
      </w:r>
      <w:r w:rsidRPr="00EE5D0C">
        <w:rPr>
          <w:szCs w:val="20"/>
        </w:rPr>
        <w:t>nalabteilung (alternativ: insgesamt oder für bestimmte Bereiche durch den DSB).</w:t>
      </w:r>
    </w:p>
    <w:p w:rsidR="00D22AF5" w:rsidRPr="00EE5D0C" w:rsidRDefault="00D22AF5" w:rsidP="00D22AF5">
      <w:pPr>
        <w:rPr>
          <w:szCs w:val="20"/>
        </w:rPr>
      </w:pPr>
      <w:r w:rsidRPr="00EE5D0C">
        <w:rPr>
          <w:b/>
          <w:szCs w:val="20"/>
        </w:rPr>
        <w:lastRenderedPageBreak/>
        <w:t>4.3</w:t>
      </w:r>
      <w:r w:rsidRPr="00EE5D0C">
        <w:rPr>
          <w:szCs w:val="20"/>
        </w:rPr>
        <w:t xml:space="preserve"> Mitarbeiter, die besonderen Geheimhaltungsve</w:t>
      </w:r>
      <w:r w:rsidRPr="00EE5D0C">
        <w:rPr>
          <w:szCs w:val="20"/>
        </w:rPr>
        <w:t>r</w:t>
      </w:r>
      <w:r w:rsidRPr="00EE5D0C">
        <w:rPr>
          <w:szCs w:val="20"/>
        </w:rPr>
        <w:t>pflichtungen (z.B. Fernmeldegeheimnis nach § 88 TKG) unterliegen, werden von den Vorgesetzen ergänzend schriftlich verpflichtet. Die jeweilige Verpflichtungserkl</w:t>
      </w:r>
      <w:r w:rsidRPr="00EE5D0C">
        <w:rPr>
          <w:szCs w:val="20"/>
        </w:rPr>
        <w:t>ä</w:t>
      </w:r>
      <w:r w:rsidRPr="00EE5D0C">
        <w:rPr>
          <w:szCs w:val="20"/>
        </w:rPr>
        <w:t>rung ist zu den Personalakten zu nehmen.</w:t>
      </w:r>
    </w:p>
    <w:p w:rsidR="00D22AF5" w:rsidRPr="00EE5D0C" w:rsidRDefault="00D22AF5" w:rsidP="00D22AF5">
      <w:pPr>
        <w:rPr>
          <w:szCs w:val="20"/>
        </w:rPr>
      </w:pPr>
      <w:r w:rsidRPr="00EE5D0C">
        <w:rPr>
          <w:b/>
          <w:szCs w:val="20"/>
        </w:rPr>
        <w:t>4.4</w:t>
      </w:r>
      <w:r w:rsidRPr="00EE5D0C">
        <w:rPr>
          <w:szCs w:val="20"/>
        </w:rPr>
        <w:t xml:space="preserve"> Der DSB ist über die Verpflichtung von Mitarbeitern</w:t>
      </w:r>
      <w:r w:rsidR="00CD3CB7" w:rsidRPr="00EE5D0C">
        <w:rPr>
          <w:szCs w:val="20"/>
        </w:rPr>
        <w:t xml:space="preserve"> </w:t>
      </w:r>
      <w:r w:rsidRPr="00EE5D0C">
        <w:rPr>
          <w:szCs w:val="20"/>
        </w:rPr>
        <w:t>und deren Arbeitsplatz zwecks von ihm vorzunehmenden</w:t>
      </w:r>
      <w:r w:rsidR="00CD3CB7" w:rsidRPr="00EE5D0C">
        <w:rPr>
          <w:szCs w:val="20"/>
        </w:rPr>
        <w:t xml:space="preserve"> </w:t>
      </w:r>
      <w:r w:rsidRPr="00EE5D0C">
        <w:rPr>
          <w:szCs w:val="20"/>
        </w:rPr>
        <w:t>weiteren Schulungen und die Feststellung</w:t>
      </w:r>
      <w:r w:rsidR="00CD3CB7" w:rsidRPr="00EE5D0C">
        <w:rPr>
          <w:szCs w:val="20"/>
        </w:rPr>
        <w:t xml:space="preserve"> </w:t>
      </w:r>
      <w:r w:rsidRPr="00EE5D0C">
        <w:rPr>
          <w:szCs w:val="20"/>
        </w:rPr>
        <w:t>evtl. Kontrol</w:t>
      </w:r>
      <w:r w:rsidRPr="00EE5D0C">
        <w:rPr>
          <w:szCs w:val="20"/>
        </w:rPr>
        <w:t>l</w:t>
      </w:r>
      <w:r w:rsidRPr="00EE5D0C">
        <w:rPr>
          <w:szCs w:val="20"/>
        </w:rPr>
        <w:t>bedarfs zu informieren.</w:t>
      </w:r>
    </w:p>
    <w:p w:rsidR="00D22AF5" w:rsidRPr="00EE5D0C" w:rsidRDefault="00D22AF5" w:rsidP="00D22AF5">
      <w:pPr>
        <w:rPr>
          <w:szCs w:val="20"/>
        </w:rPr>
      </w:pPr>
      <w:r w:rsidRPr="00EE5D0C">
        <w:rPr>
          <w:b/>
          <w:szCs w:val="20"/>
        </w:rPr>
        <w:t>4.5</w:t>
      </w:r>
      <w:r w:rsidRPr="00EE5D0C">
        <w:rPr>
          <w:szCs w:val="20"/>
        </w:rPr>
        <w:t xml:space="preserve"> Für in Abstimmung mit den jeweiligen Abteilungsle</w:t>
      </w:r>
      <w:r w:rsidRPr="00EE5D0C">
        <w:rPr>
          <w:szCs w:val="20"/>
        </w:rPr>
        <w:t>i</w:t>
      </w:r>
      <w:r w:rsidRPr="00EE5D0C">
        <w:rPr>
          <w:szCs w:val="20"/>
        </w:rPr>
        <w:t>tungen</w:t>
      </w:r>
      <w:r w:rsidR="00CD3CB7" w:rsidRPr="00EE5D0C">
        <w:rPr>
          <w:szCs w:val="20"/>
        </w:rPr>
        <w:t xml:space="preserve"> </w:t>
      </w:r>
      <w:r w:rsidRPr="00EE5D0C">
        <w:rPr>
          <w:szCs w:val="20"/>
        </w:rPr>
        <w:t>angesetzte Schulungstermine sind</w:t>
      </w:r>
      <w:r w:rsidR="00CD3CB7" w:rsidRPr="00EE5D0C">
        <w:rPr>
          <w:szCs w:val="20"/>
        </w:rPr>
        <w:t xml:space="preserve"> </w:t>
      </w:r>
      <w:r w:rsidRPr="00EE5D0C">
        <w:rPr>
          <w:szCs w:val="20"/>
        </w:rPr>
        <w:t>die betroff</w:t>
      </w:r>
      <w:r w:rsidRPr="00EE5D0C">
        <w:rPr>
          <w:szCs w:val="20"/>
        </w:rPr>
        <w:t>e</w:t>
      </w:r>
      <w:r w:rsidRPr="00EE5D0C">
        <w:rPr>
          <w:szCs w:val="20"/>
        </w:rPr>
        <w:t>nen Mitarbeiter freizustellen.</w:t>
      </w:r>
    </w:p>
    <w:p w:rsidR="00CD3CB7" w:rsidRDefault="00CD3CB7" w:rsidP="00CD3CB7">
      <w:pPr>
        <w:pStyle w:val="berschrift2"/>
      </w:pPr>
      <w:r w:rsidRPr="00CD3CB7">
        <w:t>5. Transparenz der Datenvera</w:t>
      </w:r>
      <w:r w:rsidRPr="00CD3CB7">
        <w:t>r</w:t>
      </w:r>
      <w:r w:rsidRPr="00CD3CB7">
        <w:t>beitung</w:t>
      </w:r>
    </w:p>
    <w:p w:rsidR="00CD3CB7" w:rsidRDefault="00CD3CB7" w:rsidP="00CD3CB7">
      <w:r w:rsidRPr="00CD3CB7">
        <w:rPr>
          <w:b/>
        </w:rPr>
        <w:t>5.1</w:t>
      </w:r>
      <w:r>
        <w:t xml:space="preserve"> Über Verfahren, die den Umgang mit personenbez</w:t>
      </w:r>
      <w:r>
        <w:t>o</w:t>
      </w:r>
      <w:r>
        <w:t>genen Daten betreffen, führt der Datenschutzbeauftra</w:t>
      </w:r>
      <w:r>
        <w:t>g</w:t>
      </w:r>
      <w:r>
        <w:t>te ein Verzeichnis von Verarbeitungen gem. Art. 30 DS-GVO. Der für ein Verfahren Verantwortliche bzw. der zuständige Datenschutzkoordinator meldet dieses zei</w:t>
      </w:r>
      <w:r>
        <w:t>t</w:t>
      </w:r>
      <w:r>
        <w:t>nah gemäß den vom DSB definierten Vorgaben. Gleiches gilt für Veränderungen (Change Request).</w:t>
      </w:r>
      <w:r>
        <w:rPr>
          <w:rStyle w:val="Funotenzeichen"/>
        </w:rPr>
        <w:footnoteReference w:id="4"/>
      </w:r>
    </w:p>
    <w:p w:rsidR="00CD3CB7" w:rsidRDefault="00CD3CB7" w:rsidP="00CD3CB7">
      <w:r w:rsidRPr="00CD3CB7">
        <w:rPr>
          <w:b/>
        </w:rPr>
        <w:t>5.2</w:t>
      </w:r>
      <w:r>
        <w:t xml:space="preserve"> Unabhängig von dieser Meldung ist der DSB bei der Planung der Einführung neuer Verarbeitungen bzw. der Veränderung bestehender Verfahren über Zweck und Inhalt der Anwendung und die Erfüllung der Benachric</w:t>
      </w:r>
      <w:r>
        <w:t>h</w:t>
      </w:r>
      <w:r>
        <w:t>tigungspflicht zu informieren (vgl. Ziff. 6.3). Bei standa</w:t>
      </w:r>
      <w:r>
        <w:t>r</w:t>
      </w:r>
      <w:r>
        <w:t>disierten Erhebungen (Fragebögen, Preisausschreiben, Eingabefelder auf der Internet-Homepage etc.) ist der Erhebungsbogen etc. dem DSB zur Abstimmung vorzul</w:t>
      </w:r>
      <w:r>
        <w:t>e</w:t>
      </w:r>
      <w:r>
        <w:t>gen. 5.3 Soweit der DSB feststellt, dass die beabsichtigte Verarbeitung einer Datenschutz-Folgenabschätzung u</w:t>
      </w:r>
      <w:r>
        <w:t>n</w:t>
      </w:r>
      <w:r>
        <w:t>terliegt, teilt er dies umgehend mit. Das Verfahren darf erst nach Zustimmung des DSB durchgeführt werden. Im Zweifel entscheidet die Geschäftsleitung.</w:t>
      </w:r>
    </w:p>
    <w:p w:rsidR="00CD3CB7" w:rsidRDefault="00CD3CB7" w:rsidP="00CD3CB7">
      <w:r w:rsidRPr="00CD3CB7">
        <w:rPr>
          <w:b/>
        </w:rPr>
        <w:t>5.4</w:t>
      </w:r>
      <w:r>
        <w:t xml:space="preserve"> Macht ein Betroffener von seinem Auskunftsrecht nach Art. 15 DS-GVO oder seinem Korrektur- oder Wide</w:t>
      </w:r>
      <w:r>
        <w:t>r</w:t>
      </w:r>
      <w:r>
        <w:t>spruchsrecht nach Art. 16 und Art. 21 DSGVO Gebrauch, so erfolgt die zentrale Bearbeitung durch den DSB (bei Unternehmen mit regelmäßigen Auskunftsbegehren kann auch eine Zuständigkeit der Fachabteilung zwec</w:t>
      </w:r>
      <w:r>
        <w:t>k</w:t>
      </w:r>
      <w:r>
        <w:t>mäßig sein). Auskunfts- und Einsichtsrechte von Mita</w:t>
      </w:r>
      <w:r>
        <w:t>r</w:t>
      </w:r>
      <w:r>
        <w:t>beitern werden durch die Personalverwaltung erfüllt. Es ist sicherzustellen, dass dem Betroffenen seine Daten auf Wunsch in einem strukturierten, gängigen und masch</w:t>
      </w:r>
      <w:r>
        <w:t>i</w:t>
      </w:r>
      <w:r>
        <w:t>nenlesbaren Format zur Verfügung gestellt werden kö</w:t>
      </w:r>
      <w:r>
        <w:t>n</w:t>
      </w:r>
      <w:r>
        <w:t>nen. Welcher Standard diesen Anforderungen genügt, ist im Vorfeld einvernehmlich durch den DSB und die IT-</w:t>
      </w:r>
      <w:r>
        <w:lastRenderedPageBreak/>
        <w:t>Abteilung festzulegen. Hierzu ist die Verfahrensanwe</w:t>
      </w:r>
      <w:r>
        <w:t>i</w:t>
      </w:r>
      <w:r>
        <w:t>sung „</w:t>
      </w:r>
      <w:proofErr w:type="spellStart"/>
      <w:r>
        <w:t>Datenportabilität</w:t>
      </w:r>
      <w:proofErr w:type="spellEnd"/>
      <w:r>
        <w:t>“ zu beachten (Anlage 4).</w:t>
      </w:r>
      <w:r>
        <w:rPr>
          <w:rStyle w:val="Funotenzeichen"/>
        </w:rPr>
        <w:footnoteReference w:id="5"/>
      </w:r>
    </w:p>
    <w:p w:rsidR="00CD3CB7" w:rsidRDefault="00CD3CB7" w:rsidP="00CD3CB7">
      <w:pPr>
        <w:pStyle w:val="berschrift2"/>
      </w:pPr>
      <w:r w:rsidRPr="00CD3CB7">
        <w:rPr>
          <w:b/>
        </w:rPr>
        <w:t>6.</w:t>
      </w:r>
      <w:r>
        <w:t xml:space="preserve"> Erhebung/Verarbeitung von personenbezogenen Daten</w:t>
      </w:r>
    </w:p>
    <w:p w:rsidR="00CD3CB7" w:rsidRDefault="00CD3CB7" w:rsidP="00CD3CB7">
      <w:r>
        <w:t>6.1 Die Erhebung und Verarbeitung personenbezogener Daten darf nur im Rahmen des rechtlich Zulässigen erfo</w:t>
      </w:r>
      <w:r>
        <w:t>l</w:t>
      </w:r>
      <w:r>
        <w:t>gen. Hierbei sind auch die besonderen Voraussetzungen für die Erhebung und Verarbeitung sensibler Daten g</w:t>
      </w:r>
      <w:r>
        <w:t>e</w:t>
      </w:r>
      <w:r>
        <w:t>mäß Art. 9 Abs. 1 DSGVO zu beachten. Grundsätzlich dürfen nur solche Informationen verarbeitet und genutzt werden, die zur betrieblichen Aufgabenerfüllung erfo</w:t>
      </w:r>
      <w:r>
        <w:t>r</w:t>
      </w:r>
      <w:r>
        <w:t>derlich sind und in unmittelbarem Zusammenhang mit dem Verarbeitungszweck stehen. Weitere Erlaubnista</w:t>
      </w:r>
      <w:r>
        <w:t>t</w:t>
      </w:r>
      <w:r>
        <w:t>bestände, die den Umgang mit personenbezogenen D</w:t>
      </w:r>
      <w:r>
        <w:t>a</w:t>
      </w:r>
      <w:r>
        <w:t>ten im Unternehmen legitimieren können, werden in der Verfahrensanweisung „Umgang mit personenbezogene Daten/Erlaubnistatbestände der DS-GVO“ anhand zah</w:t>
      </w:r>
      <w:r>
        <w:t>l</w:t>
      </w:r>
      <w:r>
        <w:t>reicher (auf das Unternehmen angepasster) Beispielsfälle dargestellt (Anlage 5).</w:t>
      </w:r>
      <w:r>
        <w:rPr>
          <w:rStyle w:val="Funotenzeichen"/>
        </w:rPr>
        <w:footnoteReference w:id="6"/>
      </w:r>
    </w:p>
    <w:p w:rsidR="00CD3CB7" w:rsidRDefault="00CD3CB7" w:rsidP="00CD3CB7">
      <w:r w:rsidRPr="00CD3CB7">
        <w:rPr>
          <w:b/>
        </w:rPr>
        <w:t>6.2</w:t>
      </w:r>
      <w:r>
        <w:t xml:space="preserve"> Es wird sichergestellt, dass Betroffene keiner En</w:t>
      </w:r>
      <w:r>
        <w:t>t</w:t>
      </w:r>
      <w:r>
        <w:t>scheidung unterworfen werden, die ausschließlich auf einer automatisierten Verarbeitung beruhen und z</w:t>
      </w:r>
      <w:r>
        <w:t>u</w:t>
      </w:r>
      <w:r>
        <w:t>gleich den Betroffenen gegenüber eine rechtliche Wi</w:t>
      </w:r>
      <w:r>
        <w:t>r</w:t>
      </w:r>
      <w:r>
        <w:t xml:space="preserve">kung entfalten oder sie in ähnlicher Weise erheblich beeinträchtigen (bspw. </w:t>
      </w:r>
      <w:proofErr w:type="spellStart"/>
      <w:r>
        <w:t>Profiling</w:t>
      </w:r>
      <w:proofErr w:type="spellEnd"/>
      <w:r>
        <w:t>).</w:t>
      </w:r>
    </w:p>
    <w:p w:rsidR="00CD3CB7" w:rsidRDefault="00CD3CB7" w:rsidP="00CD3CB7">
      <w:r w:rsidRPr="00CD3CB7">
        <w:rPr>
          <w:b/>
        </w:rPr>
        <w:t>6.3</w:t>
      </w:r>
      <w:r>
        <w:t xml:space="preserve"> Vor Einführung neuer Arten von Erhebungen ist die die Zulässigkeit bestimmende Zweckbestimmung der Daten durch den für die Anwendung Verantwortlichen schriftlich zu dokumentieren. Grundsätzlich ist eine Zweckänderung nur dann zulässig, wenn die Verarbe</w:t>
      </w:r>
      <w:r>
        <w:t>i</w:t>
      </w:r>
      <w:r>
        <w:t>tung mit denjenigen Zwecken vereinbar ist, für die die Daten ursprünglich erhoben worden sind. Die im Rahmen der Zweckänderung genutzten Abwägungs-Kriterien sind einzeln zu prüfen.</w:t>
      </w:r>
    </w:p>
    <w:p w:rsidR="00CD3CB7" w:rsidRDefault="00CD3CB7" w:rsidP="00CD3CB7">
      <w:r>
        <w:t>Die Prüfung ist darüber hinaus auch zu einem ordnung</w:t>
      </w:r>
      <w:r>
        <w:t>s</w:t>
      </w:r>
      <w:r>
        <w:t>gemäßen Nachweis zu dokumentieren. Einen Kriterienk</w:t>
      </w:r>
      <w:r>
        <w:t>a</w:t>
      </w:r>
      <w:r>
        <w:t>talog dazu enthält die Verfahrensanweisung „Kompatib</w:t>
      </w:r>
      <w:r>
        <w:t>i</w:t>
      </w:r>
      <w:r>
        <w:t>litätscheck bei Zweckänderung“ (Anlage 6).</w:t>
      </w:r>
      <w:r>
        <w:rPr>
          <w:rStyle w:val="Funotenzeichen"/>
        </w:rPr>
        <w:footnoteReference w:id="7"/>
      </w:r>
      <w:r>
        <w:t xml:space="preserve"> Dieser ist zu beachten.</w:t>
      </w:r>
    </w:p>
    <w:p w:rsidR="00CD3CB7" w:rsidRDefault="00CD3CB7" w:rsidP="00CD3CB7">
      <w:r>
        <w:t>Eine Zweckänderung ist auch zulässig, wenn eine Einwi</w:t>
      </w:r>
      <w:r>
        <w:t>l</w:t>
      </w:r>
      <w:r>
        <w:t>ligung der betroffenen Person durch den Verantwortl</w:t>
      </w:r>
      <w:r>
        <w:t>i</w:t>
      </w:r>
      <w:r>
        <w:t>chen eingeholt wird. Gleichzeitig hat der für die Verarbe</w:t>
      </w:r>
      <w:r>
        <w:t>i</w:t>
      </w:r>
      <w:r>
        <w:t>tung Verantwortliche vor der Erhebung bzw. der Spe</w:t>
      </w:r>
      <w:r>
        <w:t>i</w:t>
      </w:r>
      <w:r>
        <w:t xml:space="preserve">cherung von Daten schriftlich festzulegen, ob und in </w:t>
      </w:r>
      <w:r>
        <w:lastRenderedPageBreak/>
        <w:t>welcher Art und Weise der gesetzlichen Benachricht</w:t>
      </w:r>
      <w:r>
        <w:t>i</w:t>
      </w:r>
      <w:r>
        <w:t>gungspflicht des Betroffenen zu genügen ist.</w:t>
      </w:r>
    </w:p>
    <w:p w:rsidR="00CD3CB7" w:rsidRDefault="00CD3CB7" w:rsidP="00CD3CB7">
      <w:r w:rsidRPr="00CD3CB7">
        <w:rPr>
          <w:b/>
        </w:rPr>
        <w:t>6.4</w:t>
      </w:r>
      <w:r>
        <w:t xml:space="preserve"> Falls andere Stellen Informationen über Betroffene anfordern, dürfen diese ohne Einwilligung des Betroff</w:t>
      </w:r>
      <w:r>
        <w:t>e</w:t>
      </w:r>
      <w:r>
        <w:t>nen nur gegeben werden, wenn hierfür eine gesetzliche Verpflichtung oder ein die Weitergabe rechtfertigendes legitimes Interesse des Unternehmens besteht und die Identität des Anfragenden zweifelsfrei feststeht. Im Zwe</w:t>
      </w:r>
      <w:r>
        <w:t>i</w:t>
      </w:r>
      <w:r>
        <w:t>fel ist der DSB zu kontaktieren.</w:t>
      </w:r>
    </w:p>
    <w:p w:rsidR="008E1AD8" w:rsidRDefault="008E1AD8" w:rsidP="008E1AD8">
      <w:pPr>
        <w:pStyle w:val="berschrift2"/>
      </w:pPr>
      <w:r w:rsidRPr="008E1AD8">
        <w:t>7. Datenha</w:t>
      </w:r>
      <w:r w:rsidRPr="008E1AD8">
        <w:t>l</w:t>
      </w:r>
      <w:r w:rsidRPr="008E1AD8">
        <w:t>tung/Versand/Löschung</w:t>
      </w:r>
    </w:p>
    <w:p w:rsidR="008E1AD8" w:rsidRDefault="008E1AD8" w:rsidP="008E1AD8">
      <w:r w:rsidRPr="008E1AD8">
        <w:rPr>
          <w:b/>
        </w:rPr>
        <w:t>7.1</w:t>
      </w:r>
      <w:r>
        <w:t xml:space="preserve"> Die Speicherung von Daten erfolgt grundsätzlich auf den hierzu zur Verfügung gestellten Netzlaufwerken. Eine Speicherung auf mobilen Datenträgern oder Cloudspe</w:t>
      </w:r>
      <w:r>
        <w:t>i</w:t>
      </w:r>
      <w:r>
        <w:t>cher (z.B. Flashspeicher, Streamer-Bändern) bedarf der Genehmigung durch die IT-Abteilung und der Registri</w:t>
      </w:r>
      <w:r>
        <w:t>e</w:t>
      </w:r>
      <w:r>
        <w:t>rung durch die den Träger einsetzende Abte</w:t>
      </w:r>
      <w:r>
        <w:t>i</w:t>
      </w:r>
      <w:r>
        <w:t>lung/Benutzer. Bei Netzwerken ist die IT-Abteilung für die Sicherung der Daten verantwortlich, die auf dem Server gespeichert sind.</w:t>
      </w:r>
    </w:p>
    <w:p w:rsidR="008E1AD8" w:rsidRDefault="008E1AD8" w:rsidP="008E1AD8">
      <w:r w:rsidRPr="008E1AD8">
        <w:rPr>
          <w:b/>
        </w:rPr>
        <w:t>7.2</w:t>
      </w:r>
      <w:r>
        <w:t xml:space="preserve"> Soweit technisch bedingt ein anderer Speicherort erforderlich ist (z.B. Notebook, Desktop-PC) ist der jewe</w:t>
      </w:r>
      <w:r>
        <w:t>i</w:t>
      </w:r>
      <w:r>
        <w:t>lige Benutzer für die Durchführung der Datensicherung selbst verantwortlich. Ist ein Netzzugang möglich (z.B. bei Notebook mit WLAN, Tablet), ist zumindest einmal w</w:t>
      </w:r>
      <w:r>
        <w:t>ö</w:t>
      </w:r>
      <w:r>
        <w:t>chentlich der aktuelle Datenbestand auf das für den Benutzer reservierte Netzlaufwerk zu überspielen. Die gewählten Datensicherungsmaßnahmen sind in dem Verfahrensverzeichnis zu dokumentieren.</w:t>
      </w:r>
    </w:p>
    <w:p w:rsidR="008E1AD8" w:rsidRDefault="008E1AD8" w:rsidP="008E1AD8">
      <w:r w:rsidRPr="008E1AD8">
        <w:rPr>
          <w:b/>
        </w:rPr>
        <w:t>7.3</w:t>
      </w:r>
      <w:r>
        <w:t xml:space="preserve"> Gesetzliche Aufbewahrungsfristen und Löschung</w:t>
      </w:r>
      <w:r>
        <w:t>s</w:t>
      </w:r>
      <w:r>
        <w:t>termine sind von dem über die Verarbeitung der Daten Entscheidenden in seiner Verantwortung zu beachten. Die IT-Abteilung ist über die Einhaltung der Termine insbesondere im Hinblick auf die Löschung personenb</w:t>
      </w:r>
      <w:r>
        <w:t>e</w:t>
      </w:r>
      <w:r>
        <w:t>zogener Daten in Sicherungskopien zu informieren.</w:t>
      </w:r>
    </w:p>
    <w:p w:rsidR="008E1AD8" w:rsidRDefault="008E1AD8" w:rsidP="008E1AD8">
      <w:r w:rsidRPr="008E1AD8">
        <w:rPr>
          <w:b/>
        </w:rPr>
        <w:t>7.4</w:t>
      </w:r>
      <w:r>
        <w:t xml:space="preserve"> Bei der Weiter- oder Rückgabe nicht mehr benötigter IT-Komponenten ist der Benutzer verpflichtet, dafür zu sorgen, dass zuvor sämtliche Daten wirksam gelöscht wurden.</w:t>
      </w:r>
    </w:p>
    <w:p w:rsidR="008E1AD8" w:rsidRDefault="008E1AD8" w:rsidP="00752DFB">
      <w:pPr>
        <w:pStyle w:val="berschrift2"/>
      </w:pPr>
      <w:r w:rsidRPr="00752DFB">
        <w:rPr>
          <w:rStyle w:val="berschrift2Zchn"/>
        </w:rPr>
        <w:t>8.</w:t>
      </w:r>
      <w:r>
        <w:t xml:space="preserve"> Externe Dienstlei</w:t>
      </w:r>
      <w:r>
        <w:t>s</w:t>
      </w:r>
      <w:r>
        <w:t>ter/Auftragsverarbeitung/Wartung</w:t>
      </w:r>
    </w:p>
    <w:p w:rsidR="008E1AD8" w:rsidRDefault="008E1AD8" w:rsidP="008E1AD8">
      <w:r w:rsidRPr="00752DFB">
        <w:rPr>
          <w:b/>
        </w:rPr>
        <w:t>8.1</w:t>
      </w:r>
      <w:r>
        <w:t xml:space="preserve"> Sollen externe Dienstleister erstmals mit der</w:t>
      </w:r>
      <w:r w:rsidR="00752DFB">
        <w:t xml:space="preserve"> </w:t>
      </w:r>
      <w:r>
        <w:t>Vera</w:t>
      </w:r>
      <w:r>
        <w:t>r</w:t>
      </w:r>
      <w:r>
        <w:t>beitung personenbezogener Daten bzw. einzelnen</w:t>
      </w:r>
      <w:r w:rsidR="00752DFB">
        <w:t xml:space="preserve"> </w:t>
      </w:r>
      <w:r>
        <w:t>Ve</w:t>
      </w:r>
      <w:r>
        <w:t>r</w:t>
      </w:r>
      <w:r>
        <w:t>arbeitungsschritten (z.B. Erhebung, Löschung</w:t>
      </w:r>
      <w:r w:rsidR="00752DFB">
        <w:t xml:space="preserve"> </w:t>
      </w:r>
      <w:r>
        <w:t>= Entso</w:t>
      </w:r>
      <w:r>
        <w:t>r</w:t>
      </w:r>
      <w:r>
        <w:t>gung) bzw. mit Tätigkeiten (z.B.</w:t>
      </w:r>
      <w:r w:rsidR="00752DFB">
        <w:t xml:space="preserve"> </w:t>
      </w:r>
      <w:r>
        <w:t>Wartung, Reparatur) beauftragt werden, bei denen</w:t>
      </w:r>
      <w:r w:rsidR="00752DFB">
        <w:t xml:space="preserve"> </w:t>
      </w:r>
      <w:r>
        <w:t>sie die Möglichkeit der Kenntnis personenbezogener</w:t>
      </w:r>
      <w:r w:rsidR="00752DFB">
        <w:t xml:space="preserve"> </w:t>
      </w:r>
      <w:r>
        <w:t xml:space="preserve">Daten bekommen, so ist </w:t>
      </w:r>
      <w:r>
        <w:lastRenderedPageBreak/>
        <w:t>der DSB vor der Beauftragung</w:t>
      </w:r>
      <w:r w:rsidR="00752DFB">
        <w:t xml:space="preserve"> </w:t>
      </w:r>
      <w:r>
        <w:t>unter Vorlage des den Anforderungen des</w:t>
      </w:r>
      <w:r w:rsidR="00752DFB">
        <w:t xml:space="preserve"> </w:t>
      </w:r>
      <w:r>
        <w:t>Art. 28 DS-GVO genügenden Ve</w:t>
      </w:r>
      <w:r>
        <w:t>r</w:t>
      </w:r>
      <w:r>
        <w:t>tragsentwurfs und</w:t>
      </w:r>
      <w:r w:rsidR="00752DFB">
        <w:t xml:space="preserve"> </w:t>
      </w:r>
      <w:r>
        <w:t>der Kriterien der erfolgten bzw. nac</w:t>
      </w:r>
      <w:r>
        <w:t>h</w:t>
      </w:r>
      <w:r>
        <w:t>folgend vorgesehenen</w:t>
      </w:r>
      <w:r w:rsidR="00752DFB">
        <w:t xml:space="preserve"> </w:t>
      </w:r>
      <w:r>
        <w:t>Auftragskontrolle zu informieren.</w:t>
      </w:r>
    </w:p>
    <w:p w:rsidR="008E1AD8" w:rsidRDefault="008E1AD8" w:rsidP="008E1AD8">
      <w:r w:rsidRPr="00752DFB">
        <w:rPr>
          <w:b/>
        </w:rPr>
        <w:t>8.2</w:t>
      </w:r>
      <w:r>
        <w:t xml:space="preserve"> Entsprechendes gilt, falls die XY-GmbH entspreche</w:t>
      </w:r>
      <w:r>
        <w:t>n</w:t>
      </w:r>
      <w:r>
        <w:t>de</w:t>
      </w:r>
      <w:r w:rsidR="00752DFB">
        <w:t xml:space="preserve"> </w:t>
      </w:r>
      <w:r>
        <w:t>Tätigkeiten im Auftrag Dritter wahrnehmen</w:t>
      </w:r>
      <w:r w:rsidR="00752DFB">
        <w:t xml:space="preserve"> </w:t>
      </w:r>
      <w:r>
        <w:t>will.</w:t>
      </w:r>
    </w:p>
    <w:p w:rsidR="00752DFB" w:rsidRDefault="00752DFB" w:rsidP="00752DFB">
      <w:pPr>
        <w:pStyle w:val="berschrift2"/>
      </w:pPr>
      <w:r w:rsidRPr="00752DFB">
        <w:t>9. Sicherheit der Verarbeitung</w:t>
      </w:r>
    </w:p>
    <w:p w:rsidR="00752DFB" w:rsidRDefault="00752DFB" w:rsidP="00752DFB">
      <w:r w:rsidRPr="00752DFB">
        <w:rPr>
          <w:b/>
        </w:rPr>
        <w:t>9.1</w:t>
      </w:r>
      <w:r>
        <w:t xml:space="preserve"> Für jedes Verfahren ist eine dokumentierte Schut</w:t>
      </w:r>
      <w:r>
        <w:t>z</w:t>
      </w:r>
      <w:r>
        <w:t>bedarfsfeststellung sowie eine Analyse bzgl. der für den Betroffenen möglichen Risiken zu erstellen. Diese richten sich an der Art, dem Umfang, der Umstände und Zwecke der Verarbeitung sowie der Wahrscheinlichkeit des Ei</w:t>
      </w:r>
      <w:r>
        <w:t>n</w:t>
      </w:r>
      <w:r>
        <w:t>tritts einer solchen Gefahr.</w:t>
      </w:r>
    </w:p>
    <w:p w:rsidR="00752DFB" w:rsidRDefault="00752DFB" w:rsidP="00752DFB">
      <w:r w:rsidRPr="00752DFB">
        <w:rPr>
          <w:b/>
        </w:rPr>
        <w:t xml:space="preserve">9.2 </w:t>
      </w:r>
      <w:r>
        <w:t>Zur Wahrung der Verfügbarkeit, Vertraulichkeit und Integrität der Daten sowie der Belastbarkeit der Daten verarbeitenden Systeme ist ein allgemeines Sicherheit</w:t>
      </w:r>
      <w:r>
        <w:t>s</w:t>
      </w:r>
      <w:r>
        <w:t>konzept zu erstellen. Das Konzept orientiert sich an der zuvor erstellten Schutzbedarfsfeststellung und der Ris</w:t>
      </w:r>
      <w:r>
        <w:t>i</w:t>
      </w:r>
      <w:r>
        <w:t>koanalyse. Dieses Konzept ist maßgeblich für alle weit</w:t>
      </w:r>
      <w:r>
        <w:t>e</w:t>
      </w:r>
      <w:r>
        <w:t xml:space="preserve">ren Verfahren. </w:t>
      </w:r>
    </w:p>
    <w:p w:rsidR="00752DFB" w:rsidRDefault="00752DFB" w:rsidP="00752DFB">
      <w:r w:rsidRPr="00752DFB">
        <w:rPr>
          <w:b/>
        </w:rPr>
        <w:t>9.3</w:t>
      </w:r>
      <w:r>
        <w:t xml:space="preserve"> Neben dieser Richtlinie bestehen ergänzende Reg</w:t>
      </w:r>
      <w:r>
        <w:t>e</w:t>
      </w:r>
      <w:r>
        <w:t>lungen, die insbesondere zur Realisierung der Datens</w:t>
      </w:r>
      <w:r>
        <w:t>i</w:t>
      </w:r>
      <w:r>
        <w:t>cherungsgebote des Art. 32 DS-GVO zu treffende Ma</w:t>
      </w:r>
      <w:r>
        <w:t>ß</w:t>
      </w:r>
      <w:r>
        <w:t>nahmen betreffen. Hierzu gehören u.a.</w:t>
      </w:r>
    </w:p>
    <w:p w:rsidR="00752DFB" w:rsidRDefault="00752DFB" w:rsidP="00752DFB">
      <w:pPr>
        <w:pStyle w:val="Listenabsatz"/>
        <w:numPr>
          <w:ilvl w:val="0"/>
          <w:numId w:val="3"/>
        </w:numPr>
      </w:pPr>
      <w:r>
        <w:t>Arbeitsanweisung zum datenschutzgerechten Versand von Datenträgern und zur Verschlüss</w:t>
      </w:r>
      <w:r>
        <w:t>e</w:t>
      </w:r>
      <w:r>
        <w:t>lung von Daten</w:t>
      </w:r>
    </w:p>
    <w:p w:rsidR="00752DFB" w:rsidRDefault="00752DFB" w:rsidP="00752DFB">
      <w:pPr>
        <w:pStyle w:val="Listenabsatz"/>
        <w:numPr>
          <w:ilvl w:val="0"/>
          <w:numId w:val="3"/>
        </w:numPr>
      </w:pPr>
      <w:r>
        <w:t>Arbeitsanweisung zum Passwortverfahren</w:t>
      </w:r>
    </w:p>
    <w:p w:rsidR="00752DFB" w:rsidRDefault="00752DFB" w:rsidP="000145BE">
      <w:pPr>
        <w:pStyle w:val="Listenabsatz"/>
        <w:numPr>
          <w:ilvl w:val="0"/>
          <w:numId w:val="3"/>
        </w:numPr>
      </w:pPr>
      <w:r>
        <w:t>Arbeitsanweisung zur Erteilung von Auskünften im Personalbereich</w:t>
      </w:r>
    </w:p>
    <w:p w:rsidR="00752DFB" w:rsidRDefault="00752DFB" w:rsidP="00752DFB">
      <w:pPr>
        <w:pStyle w:val="Listenabsatz"/>
        <w:numPr>
          <w:ilvl w:val="0"/>
          <w:numId w:val="3"/>
        </w:numPr>
      </w:pPr>
      <w:r>
        <w:t>Arbeitsanweisung zur PC- und Laptop-Nutzung</w:t>
      </w:r>
    </w:p>
    <w:p w:rsidR="00752DFB" w:rsidRDefault="00752DFB" w:rsidP="00752DFB">
      <w:pPr>
        <w:pStyle w:val="Listenabsatz"/>
        <w:numPr>
          <w:ilvl w:val="0"/>
          <w:numId w:val="3"/>
        </w:numPr>
      </w:pPr>
      <w:r>
        <w:t>Arbeitsanweisung Telearbeit/Home-Office</w:t>
      </w:r>
      <w:r>
        <w:rPr>
          <w:rStyle w:val="Funotenzeichen"/>
        </w:rPr>
        <w:footnoteReference w:id="8"/>
      </w:r>
    </w:p>
    <w:p w:rsidR="00752DFB" w:rsidRDefault="00752DFB" w:rsidP="00752DFB">
      <w:pPr>
        <w:ind w:left="360"/>
      </w:pPr>
      <w:r>
        <w:t>Ferner ist die Verarbeitung von Personaldaten in e</w:t>
      </w:r>
      <w:r>
        <w:t>i</w:t>
      </w:r>
      <w:r>
        <w:t>ner Anzahl von Betriebsvereinbarungen näher fes</w:t>
      </w:r>
      <w:r>
        <w:t>t</w:t>
      </w:r>
      <w:r>
        <w:t>gelegt. Hierzu gehören u. a. die Vereinbarung</w:t>
      </w:r>
    </w:p>
    <w:p w:rsidR="00752DFB" w:rsidRDefault="00752DFB" w:rsidP="00752DFB">
      <w:pPr>
        <w:pStyle w:val="Listenabsatz"/>
        <w:numPr>
          <w:ilvl w:val="0"/>
          <w:numId w:val="3"/>
        </w:numPr>
      </w:pPr>
      <w:r>
        <w:t>über die Nutzung von Telekommunikation (Tel</w:t>
      </w:r>
      <w:r>
        <w:t>e</w:t>
      </w:r>
      <w:r>
        <w:t>fon,</w:t>
      </w:r>
    </w:p>
    <w:p w:rsidR="00752DFB" w:rsidRDefault="00752DFB" w:rsidP="00752DFB">
      <w:pPr>
        <w:pStyle w:val="Listenabsatz"/>
        <w:numPr>
          <w:ilvl w:val="0"/>
          <w:numId w:val="3"/>
        </w:numPr>
      </w:pPr>
      <w:r>
        <w:t>E-Mail, Internet) in der XY-GmbH</w:t>
      </w:r>
    </w:p>
    <w:p w:rsidR="00752DFB" w:rsidRDefault="00752DFB" w:rsidP="00752DFB">
      <w:pPr>
        <w:pStyle w:val="Listenabsatz"/>
        <w:numPr>
          <w:ilvl w:val="0"/>
          <w:numId w:val="3"/>
        </w:numPr>
      </w:pPr>
      <w:r>
        <w:t>die Vergabe von Telearbeit/Homeoffice</w:t>
      </w:r>
      <w:r>
        <w:rPr>
          <w:rStyle w:val="Funotenzeichen"/>
        </w:rPr>
        <w:footnoteReference w:id="9"/>
      </w:r>
    </w:p>
    <w:p w:rsidR="00752DFB" w:rsidRDefault="00752DFB" w:rsidP="00752DFB">
      <w:pPr>
        <w:pStyle w:val="berschrift2"/>
      </w:pPr>
      <w:r w:rsidRPr="00752DFB">
        <w:t>10. Rechenschafts- und Dok</w:t>
      </w:r>
      <w:r w:rsidRPr="00752DFB">
        <w:t>u</w:t>
      </w:r>
      <w:r w:rsidRPr="00752DFB">
        <w:t>mentationspflicht</w:t>
      </w:r>
    </w:p>
    <w:p w:rsidR="00752DFB" w:rsidRPr="00752DFB" w:rsidRDefault="00752DFB" w:rsidP="00752DFB">
      <w:r>
        <w:t>Die Einhaltung der Vorgaben, die sich aus dieser Richtl</w:t>
      </w:r>
      <w:r>
        <w:t>i</w:t>
      </w:r>
      <w:r>
        <w:t>nie ergeben, muss jederzeit nachweisbar sein („</w:t>
      </w:r>
      <w:proofErr w:type="spellStart"/>
      <w:r>
        <w:t>Accou</w:t>
      </w:r>
      <w:r>
        <w:t>n</w:t>
      </w:r>
      <w:r>
        <w:t>tability</w:t>
      </w:r>
      <w:proofErr w:type="spellEnd"/>
      <w:r>
        <w:t xml:space="preserve">“). Eine Nachweisbarkeit hat insbesondere durch </w:t>
      </w:r>
      <w:r>
        <w:lastRenderedPageBreak/>
        <w:t>eine schlüssige und nachvollziehbare schriftliche Dok</w:t>
      </w:r>
      <w:r>
        <w:t>u</w:t>
      </w:r>
      <w:r>
        <w:t>mentation hinsichtlich getroffener Maßnahmen und dazugehöriger Abwägungen zu erfolgen.</w:t>
      </w:r>
    </w:p>
    <w:p w:rsidR="00711081" w:rsidRPr="00711081" w:rsidRDefault="00711081" w:rsidP="00940272">
      <w:pPr>
        <w:rPr>
          <w:sz w:val="16"/>
          <w:szCs w:val="16"/>
        </w:rPr>
      </w:pPr>
    </w:p>
    <w:p w:rsidR="00711081" w:rsidRDefault="00711081" w:rsidP="0028224D">
      <w:pPr>
        <w:spacing w:after="0" w:line="240" w:lineRule="auto"/>
        <w:jc w:val="right"/>
        <w:sectPr w:rsidR="00711081" w:rsidSect="00EE5D0C">
          <w:type w:val="continuous"/>
          <w:pgSz w:w="11906" w:h="16838"/>
          <w:pgMar w:top="1276" w:right="1133" w:bottom="993" w:left="1134" w:header="708" w:footer="708" w:gutter="0"/>
          <w:cols w:num="2" w:space="282"/>
          <w:docGrid w:linePitch="360"/>
        </w:sectPr>
      </w:pPr>
    </w:p>
    <w:p w:rsidR="00711081" w:rsidRDefault="00711081" w:rsidP="006921AF">
      <w:pPr>
        <w:spacing w:after="0" w:line="240" w:lineRule="auto"/>
      </w:pPr>
    </w:p>
    <w:p w:rsidR="00711081" w:rsidRDefault="00711081" w:rsidP="006921AF">
      <w:pPr>
        <w:spacing w:after="0" w:line="240" w:lineRule="auto"/>
      </w:pPr>
    </w:p>
    <w:p w:rsidR="00711081" w:rsidRDefault="00711081" w:rsidP="006921AF">
      <w:pPr>
        <w:spacing w:after="0" w:line="240" w:lineRule="auto"/>
      </w:pPr>
    </w:p>
    <w:p w:rsidR="006921AF" w:rsidRDefault="006921AF" w:rsidP="006921AF">
      <w:pPr>
        <w:spacing w:after="0" w:line="240" w:lineRule="auto"/>
      </w:pPr>
    </w:p>
    <w:p w:rsidR="006921AF" w:rsidRDefault="006921AF" w:rsidP="006921AF">
      <w:pPr>
        <w:spacing w:after="0" w:line="240" w:lineRule="auto"/>
      </w:pPr>
    </w:p>
    <w:p w:rsidR="006921AF" w:rsidRDefault="006921AF" w:rsidP="006921AF">
      <w:pPr>
        <w:spacing w:after="0" w:line="240" w:lineRule="auto"/>
      </w:pPr>
    </w:p>
    <w:p w:rsidR="006921AF" w:rsidRDefault="006921AF" w:rsidP="006921AF">
      <w:pPr>
        <w:pStyle w:val="berschrift2"/>
      </w:pPr>
      <w:r>
        <w:t>Lizenzhinweis</w:t>
      </w:r>
    </w:p>
    <w:p w:rsidR="00711081" w:rsidRPr="00711081" w:rsidRDefault="006921AF" w:rsidP="006921AF">
      <w:pPr>
        <w:spacing w:after="0" w:line="240" w:lineRule="auto"/>
        <w:rPr>
          <w:szCs w:val="20"/>
        </w:rPr>
      </w:pPr>
      <w:r>
        <w:rPr>
          <w:szCs w:val="20"/>
        </w:rPr>
        <w:t>Sie dürfen das vorliegende Muster für eigene Zwecke verwenden, nach eigenen Bedürfnissen anpassen und innerhalb des Unternehmens oder der Unternehmensgruppe verbreiten.</w:t>
      </w:r>
    </w:p>
    <w:p w:rsidR="0028224D" w:rsidRPr="00711081" w:rsidRDefault="0028224D" w:rsidP="006921AF">
      <w:pPr>
        <w:spacing w:after="0" w:line="240" w:lineRule="auto"/>
        <w:rPr>
          <w:i/>
          <w:szCs w:val="20"/>
        </w:rPr>
      </w:pPr>
    </w:p>
    <w:sectPr w:rsidR="0028224D" w:rsidRPr="00711081" w:rsidSect="001E68DF">
      <w:type w:val="continuous"/>
      <w:pgSz w:w="11906" w:h="16838"/>
      <w:pgMar w:top="1276" w:right="1133"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779" w:rsidRDefault="00C12779" w:rsidP="003F1A7B">
      <w:pPr>
        <w:spacing w:after="0" w:line="240" w:lineRule="auto"/>
      </w:pPr>
      <w:r>
        <w:separator/>
      </w:r>
    </w:p>
  </w:endnote>
  <w:endnote w:type="continuationSeparator" w:id="0">
    <w:p w:rsidR="00C12779" w:rsidRDefault="00C12779" w:rsidP="003F1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 Offc">
    <w:altName w:val="Segoe Script"/>
    <w:charset w:val="00"/>
    <w:family w:val="swiss"/>
    <w:pitch w:val="variable"/>
    <w:sig w:usb0="00000003" w:usb1="4000207B" w:usb2="00000008"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081" w:rsidRPr="00711081" w:rsidRDefault="00EE5D0C" w:rsidP="00711081">
    <w:pPr>
      <w:pStyle w:val="Fuzeile"/>
      <w:jc w:val="center"/>
      <w:rPr>
        <w:sz w:val="16"/>
        <w:szCs w:val="16"/>
      </w:rPr>
    </w:pPr>
    <w:r w:rsidRPr="00EE5D0C">
      <w:rPr>
        <w:sz w:val="16"/>
        <w:szCs w:val="16"/>
      </w:rPr>
      <w:t xml:space="preserve">Seite </w:t>
    </w:r>
    <w:r w:rsidRPr="00EE5D0C">
      <w:rPr>
        <w:b/>
        <w:bCs/>
        <w:sz w:val="16"/>
        <w:szCs w:val="16"/>
      </w:rPr>
      <w:fldChar w:fldCharType="begin"/>
    </w:r>
    <w:r w:rsidRPr="00EE5D0C">
      <w:rPr>
        <w:b/>
        <w:bCs/>
        <w:sz w:val="16"/>
        <w:szCs w:val="16"/>
      </w:rPr>
      <w:instrText>PAGE  \* Arabic  \* MERGEFORMAT</w:instrText>
    </w:r>
    <w:r w:rsidRPr="00EE5D0C">
      <w:rPr>
        <w:b/>
        <w:bCs/>
        <w:sz w:val="16"/>
        <w:szCs w:val="16"/>
      </w:rPr>
      <w:fldChar w:fldCharType="separate"/>
    </w:r>
    <w:r w:rsidR="00BA69CD">
      <w:rPr>
        <w:b/>
        <w:bCs/>
        <w:noProof/>
        <w:sz w:val="16"/>
        <w:szCs w:val="16"/>
      </w:rPr>
      <w:t>1</w:t>
    </w:r>
    <w:r w:rsidRPr="00EE5D0C">
      <w:rPr>
        <w:b/>
        <w:bCs/>
        <w:sz w:val="16"/>
        <w:szCs w:val="16"/>
      </w:rPr>
      <w:fldChar w:fldCharType="end"/>
    </w:r>
    <w:r w:rsidRPr="00EE5D0C">
      <w:rPr>
        <w:sz w:val="16"/>
        <w:szCs w:val="16"/>
      </w:rPr>
      <w:t xml:space="preserve"> von </w:t>
    </w:r>
    <w:r w:rsidRPr="00EE5D0C">
      <w:rPr>
        <w:b/>
        <w:bCs/>
        <w:sz w:val="16"/>
        <w:szCs w:val="16"/>
      </w:rPr>
      <w:fldChar w:fldCharType="begin"/>
    </w:r>
    <w:r w:rsidRPr="00EE5D0C">
      <w:rPr>
        <w:b/>
        <w:bCs/>
        <w:sz w:val="16"/>
        <w:szCs w:val="16"/>
      </w:rPr>
      <w:instrText>NUMPAGES  \* Arabic  \* MERGEFORMAT</w:instrText>
    </w:r>
    <w:r w:rsidRPr="00EE5D0C">
      <w:rPr>
        <w:b/>
        <w:bCs/>
        <w:sz w:val="16"/>
        <w:szCs w:val="16"/>
      </w:rPr>
      <w:fldChar w:fldCharType="separate"/>
    </w:r>
    <w:r w:rsidR="00BA69CD">
      <w:rPr>
        <w:b/>
        <w:bCs/>
        <w:noProof/>
        <w:sz w:val="16"/>
        <w:szCs w:val="16"/>
      </w:rPr>
      <w:t>6</w:t>
    </w:r>
    <w:r w:rsidRPr="00EE5D0C">
      <w:rPr>
        <w:b/>
        <w:bCs/>
        <w:sz w:val="16"/>
        <w:szCs w:val="16"/>
      </w:rPr>
      <w:fldChar w:fldCharType="end"/>
    </w:r>
    <w:r w:rsidRPr="00EE5D0C">
      <w:rPr>
        <w:sz w:val="16"/>
        <w:szCs w:val="16"/>
      </w:rPr>
      <w:t xml:space="preserve">. | </w:t>
    </w:r>
    <w:r w:rsidR="00711081" w:rsidRPr="00EE5D0C">
      <w:rPr>
        <w:sz w:val="16"/>
        <w:szCs w:val="16"/>
      </w:rPr>
      <w:t xml:space="preserve">Version </w:t>
    </w:r>
    <w:r w:rsidR="00711081" w:rsidRPr="00711081">
      <w:rPr>
        <w:sz w:val="16"/>
        <w:szCs w:val="16"/>
      </w:rPr>
      <w:t>1.</w:t>
    </w:r>
    <w:r w:rsidR="006821B5">
      <w:rPr>
        <w:sz w:val="16"/>
        <w:szCs w:val="16"/>
      </w:rPr>
      <w:t>2</w:t>
    </w:r>
    <w:r w:rsidR="00711081" w:rsidRPr="00711081">
      <w:rPr>
        <w:sz w:val="16"/>
        <w:szCs w:val="16"/>
      </w:rPr>
      <w:t xml:space="preserve"> vom Okt</w:t>
    </w:r>
    <w:r w:rsidR="006821B5">
      <w:rPr>
        <w:sz w:val="16"/>
        <w:szCs w:val="16"/>
      </w:rPr>
      <w:t>ober</w:t>
    </w:r>
    <w:r w:rsidR="00711081" w:rsidRPr="00711081">
      <w:rPr>
        <w:sz w:val="16"/>
        <w:szCs w:val="16"/>
      </w:rPr>
      <w:t xml:space="preserve"> 20</w:t>
    </w:r>
    <w:r w:rsidR="006821B5">
      <w:rPr>
        <w:sz w:val="16"/>
        <w:szCs w:val="16"/>
      </w:rP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779" w:rsidRDefault="00C12779" w:rsidP="003F1A7B">
      <w:pPr>
        <w:spacing w:after="0" w:line="240" w:lineRule="auto"/>
      </w:pPr>
      <w:r>
        <w:separator/>
      </w:r>
    </w:p>
  </w:footnote>
  <w:footnote w:type="continuationSeparator" w:id="0">
    <w:p w:rsidR="00C12779" w:rsidRDefault="00C12779" w:rsidP="003F1A7B">
      <w:pPr>
        <w:spacing w:after="0" w:line="240" w:lineRule="auto"/>
      </w:pPr>
      <w:r>
        <w:continuationSeparator/>
      </w:r>
    </w:p>
  </w:footnote>
  <w:footnote w:id="1">
    <w:p w:rsidR="00D22AF5" w:rsidRPr="00EE5D0C" w:rsidRDefault="00D22AF5">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2">
    <w:p w:rsidR="00D22AF5" w:rsidRPr="00EE5D0C" w:rsidRDefault="00D22AF5">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3">
    <w:p w:rsidR="00D22AF5" w:rsidRPr="00EE5D0C" w:rsidRDefault="00D22AF5">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4">
    <w:p w:rsidR="00CD3CB7" w:rsidRPr="00EE5D0C" w:rsidRDefault="00CD3CB7" w:rsidP="00CD3CB7">
      <w:pPr>
        <w:pStyle w:val="Funotentext"/>
        <w:rPr>
          <w:sz w:val="16"/>
        </w:rPr>
      </w:pPr>
      <w:r w:rsidRPr="00EE5D0C">
        <w:rPr>
          <w:rStyle w:val="Funotenzeichen"/>
          <w:sz w:val="16"/>
        </w:rPr>
        <w:footnoteRef/>
      </w:r>
      <w:r w:rsidRPr="00EE5D0C">
        <w:rPr>
          <w:sz w:val="16"/>
        </w:rPr>
        <w:t xml:space="preserve"> Ein öffentliches „Jedermann-Verzeichnis“ existiert nach der DS-GVO nicht mehr. Ein Großteil der hierin enthaltenen Informationen werden den betroffenen Personen dennoch nach den </w:t>
      </w:r>
      <w:proofErr w:type="spellStart"/>
      <w:r w:rsidRPr="00EE5D0C">
        <w:rPr>
          <w:sz w:val="16"/>
        </w:rPr>
        <w:t>Artt</w:t>
      </w:r>
      <w:proofErr w:type="spellEnd"/>
      <w:r w:rsidRPr="00EE5D0C">
        <w:rPr>
          <w:sz w:val="16"/>
        </w:rPr>
        <w:t>. 13, 14 und 15 zur Verfügung gestellt.</w:t>
      </w:r>
    </w:p>
  </w:footnote>
  <w:footnote w:id="5">
    <w:p w:rsidR="00CD3CB7" w:rsidRPr="00EE5D0C" w:rsidRDefault="00CD3CB7">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6">
    <w:p w:rsidR="00CD3CB7" w:rsidRPr="00EE5D0C" w:rsidRDefault="00CD3CB7">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7">
    <w:p w:rsidR="00CD3CB7" w:rsidRPr="00EE5D0C" w:rsidRDefault="00CD3CB7">
      <w:pPr>
        <w:pStyle w:val="Funotentext"/>
        <w:rPr>
          <w:sz w:val="16"/>
        </w:rPr>
      </w:pPr>
      <w:r w:rsidRPr="00EE5D0C">
        <w:rPr>
          <w:rStyle w:val="Funotenzeichen"/>
          <w:sz w:val="16"/>
        </w:rPr>
        <w:footnoteRef/>
      </w:r>
      <w:r w:rsidRPr="00EE5D0C">
        <w:rPr>
          <w:sz w:val="16"/>
        </w:rPr>
        <w:t xml:space="preserve"> Die Anlage ist fiktiv, sie kann ggf. unternehmensspezifisch mit Inhalt gefüllt werden.</w:t>
      </w:r>
    </w:p>
  </w:footnote>
  <w:footnote w:id="8">
    <w:p w:rsidR="00752DFB" w:rsidRPr="00EE5D0C" w:rsidRDefault="00752DFB" w:rsidP="00752DFB">
      <w:pPr>
        <w:pStyle w:val="Funotentext"/>
        <w:rPr>
          <w:sz w:val="16"/>
        </w:rPr>
      </w:pPr>
      <w:r w:rsidRPr="00EE5D0C">
        <w:rPr>
          <w:rStyle w:val="Funotenzeichen"/>
          <w:sz w:val="16"/>
        </w:rPr>
        <w:footnoteRef/>
      </w:r>
      <w:r w:rsidRPr="00EE5D0C">
        <w:rPr>
          <w:sz w:val="16"/>
        </w:rPr>
        <w:t xml:space="preserve"> Die Arbeitsanweisungen sind fiktiv, sie können ggf. unternehmenssp</w:t>
      </w:r>
      <w:r w:rsidRPr="00EE5D0C">
        <w:rPr>
          <w:sz w:val="16"/>
        </w:rPr>
        <w:t>e</w:t>
      </w:r>
      <w:r w:rsidRPr="00EE5D0C">
        <w:rPr>
          <w:sz w:val="16"/>
        </w:rPr>
        <w:t>zifisch mit Inhalt gefüllt werden.</w:t>
      </w:r>
    </w:p>
  </w:footnote>
  <w:footnote w:id="9">
    <w:p w:rsidR="00752DFB" w:rsidRDefault="00752DFB">
      <w:pPr>
        <w:pStyle w:val="Funotentext"/>
      </w:pPr>
      <w:r w:rsidRPr="00EE5D0C">
        <w:rPr>
          <w:rStyle w:val="Funotenzeichen"/>
          <w:sz w:val="16"/>
        </w:rPr>
        <w:footnoteRef/>
      </w:r>
      <w:r w:rsidRPr="00EE5D0C">
        <w:rPr>
          <w:sz w:val="16"/>
        </w:rPr>
        <w:t xml:space="preserve"> Die Betriebsvereinbarungen sind fiktiv, sie können ggf. unterne</w:t>
      </w:r>
      <w:r w:rsidRPr="00EE5D0C">
        <w:rPr>
          <w:sz w:val="16"/>
        </w:rPr>
        <w:t>h</w:t>
      </w:r>
      <w:r w:rsidRPr="00EE5D0C">
        <w:rPr>
          <w:sz w:val="16"/>
        </w:rPr>
        <w:t>mensspezifisch mit Inhalt gefüllt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55D3F"/>
    <w:multiLevelType w:val="hybridMultilevel"/>
    <w:tmpl w:val="83EEB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8858DC"/>
    <w:multiLevelType w:val="hybridMultilevel"/>
    <w:tmpl w:val="E7A4F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395F5A"/>
    <w:multiLevelType w:val="hybridMultilevel"/>
    <w:tmpl w:val="96D84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C9"/>
    <w:rsid w:val="00030B1F"/>
    <w:rsid w:val="00034343"/>
    <w:rsid w:val="000353D2"/>
    <w:rsid w:val="000B3EB5"/>
    <w:rsid w:val="000B73A6"/>
    <w:rsid w:val="000D005B"/>
    <w:rsid w:val="00100119"/>
    <w:rsid w:val="00100E47"/>
    <w:rsid w:val="00106FCD"/>
    <w:rsid w:val="00126807"/>
    <w:rsid w:val="00181A49"/>
    <w:rsid w:val="001D3C9E"/>
    <w:rsid w:val="001D570B"/>
    <w:rsid w:val="001E68DF"/>
    <w:rsid w:val="00213BD5"/>
    <w:rsid w:val="00243F75"/>
    <w:rsid w:val="0028224D"/>
    <w:rsid w:val="002D4F29"/>
    <w:rsid w:val="00313CC2"/>
    <w:rsid w:val="00391E9E"/>
    <w:rsid w:val="003E0A86"/>
    <w:rsid w:val="003F1A7B"/>
    <w:rsid w:val="004726AC"/>
    <w:rsid w:val="00486062"/>
    <w:rsid w:val="00492EFE"/>
    <w:rsid w:val="005579EC"/>
    <w:rsid w:val="0058617B"/>
    <w:rsid w:val="005F19FA"/>
    <w:rsid w:val="005F2267"/>
    <w:rsid w:val="005F3F53"/>
    <w:rsid w:val="00604B96"/>
    <w:rsid w:val="00622FC9"/>
    <w:rsid w:val="00680C4F"/>
    <w:rsid w:val="00680DA6"/>
    <w:rsid w:val="006821B5"/>
    <w:rsid w:val="006921AF"/>
    <w:rsid w:val="006D14EB"/>
    <w:rsid w:val="00700A19"/>
    <w:rsid w:val="00701AE0"/>
    <w:rsid w:val="00711081"/>
    <w:rsid w:val="00752DFB"/>
    <w:rsid w:val="007B2258"/>
    <w:rsid w:val="007B2B60"/>
    <w:rsid w:val="008078D4"/>
    <w:rsid w:val="00814250"/>
    <w:rsid w:val="008400B4"/>
    <w:rsid w:val="00842EF4"/>
    <w:rsid w:val="00853D18"/>
    <w:rsid w:val="008763FC"/>
    <w:rsid w:val="008E1AD8"/>
    <w:rsid w:val="009141E4"/>
    <w:rsid w:val="00914AA3"/>
    <w:rsid w:val="00940272"/>
    <w:rsid w:val="0095326A"/>
    <w:rsid w:val="00A30C4A"/>
    <w:rsid w:val="00AC30C9"/>
    <w:rsid w:val="00AC6EE0"/>
    <w:rsid w:val="00AD2795"/>
    <w:rsid w:val="00AF1792"/>
    <w:rsid w:val="00B470B1"/>
    <w:rsid w:val="00BA69CD"/>
    <w:rsid w:val="00C12779"/>
    <w:rsid w:val="00C42EB4"/>
    <w:rsid w:val="00CD3CB7"/>
    <w:rsid w:val="00D22AF5"/>
    <w:rsid w:val="00D31A44"/>
    <w:rsid w:val="00D819A9"/>
    <w:rsid w:val="00E318B3"/>
    <w:rsid w:val="00E52CDF"/>
    <w:rsid w:val="00E66993"/>
    <w:rsid w:val="00EA62BC"/>
    <w:rsid w:val="00EC0818"/>
    <w:rsid w:val="00EE5D0C"/>
    <w:rsid w:val="00F239E0"/>
    <w:rsid w:val="00F309A4"/>
    <w:rsid w:val="00F72B0F"/>
    <w:rsid w:val="00F7577D"/>
    <w:rsid w:val="00FD1532"/>
    <w:rsid w:val="00FE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5D0C"/>
    <w:pPr>
      <w:spacing w:after="120"/>
      <w:jc w:val="both"/>
    </w:pPr>
    <w:rPr>
      <w:sz w:val="20"/>
    </w:rPr>
  </w:style>
  <w:style w:type="paragraph" w:styleId="berschrift1">
    <w:name w:val="heading 1"/>
    <w:basedOn w:val="Standard"/>
    <w:next w:val="Standard"/>
    <w:link w:val="berschrift1Zchn"/>
    <w:uiPriority w:val="9"/>
    <w:qFormat/>
    <w:rsid w:val="0028224D"/>
    <w:pPr>
      <w:keepNext/>
      <w:keepLines/>
      <w:spacing w:before="240" w:after="0"/>
      <w:outlineLvl w:val="0"/>
    </w:pPr>
    <w:rPr>
      <w:rFonts w:ascii="DIN Offc" w:eastAsiaTheme="majorEastAsia" w:hAnsi="DIN Offc" w:cstheme="majorBidi"/>
      <w:color w:val="C5015A"/>
      <w:sz w:val="32"/>
      <w:szCs w:val="32"/>
    </w:rPr>
  </w:style>
  <w:style w:type="paragraph" w:styleId="berschrift2">
    <w:name w:val="heading 2"/>
    <w:basedOn w:val="Standard"/>
    <w:next w:val="Standard"/>
    <w:link w:val="berschrift2Zchn"/>
    <w:uiPriority w:val="9"/>
    <w:unhideWhenUsed/>
    <w:qFormat/>
    <w:rsid w:val="00126807"/>
    <w:pPr>
      <w:keepNext/>
      <w:keepLines/>
      <w:spacing w:before="240" w:after="0"/>
      <w:outlineLvl w:val="1"/>
    </w:pPr>
    <w:rPr>
      <w:rFonts w:ascii="DIN Offc" w:eastAsiaTheme="majorEastAsia" w:hAnsi="DIN Offc" w:cstheme="majorBidi"/>
      <w:color w:val="C5015A"/>
      <w:sz w:val="26"/>
      <w:szCs w:val="26"/>
    </w:rPr>
  </w:style>
  <w:style w:type="paragraph" w:styleId="berschrift3">
    <w:name w:val="heading 3"/>
    <w:basedOn w:val="Standard"/>
    <w:next w:val="Standard"/>
    <w:link w:val="berschrift3Zchn"/>
    <w:uiPriority w:val="9"/>
    <w:unhideWhenUsed/>
    <w:qFormat/>
    <w:rsid w:val="00A30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2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2FC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224D"/>
    <w:rPr>
      <w:rFonts w:ascii="DIN Offc" w:eastAsiaTheme="majorEastAsia" w:hAnsi="DIN Offc" w:cstheme="majorBidi"/>
      <w:color w:val="C5015A"/>
      <w:sz w:val="32"/>
      <w:szCs w:val="32"/>
    </w:rPr>
  </w:style>
  <w:style w:type="character" w:customStyle="1" w:styleId="berschrift2Zchn">
    <w:name w:val="Überschrift 2 Zchn"/>
    <w:basedOn w:val="Absatz-Standardschriftart"/>
    <w:link w:val="berschrift2"/>
    <w:uiPriority w:val="9"/>
    <w:rsid w:val="00126807"/>
    <w:rPr>
      <w:rFonts w:ascii="DIN Offc" w:eastAsiaTheme="majorEastAsia" w:hAnsi="DIN Offc" w:cstheme="majorBidi"/>
      <w:color w:val="C5015A"/>
      <w:sz w:val="26"/>
      <w:szCs w:val="26"/>
    </w:rPr>
  </w:style>
  <w:style w:type="paragraph" w:styleId="Kopfzeile">
    <w:name w:val="header"/>
    <w:basedOn w:val="Standard"/>
    <w:link w:val="KopfzeileZchn"/>
    <w:uiPriority w:val="99"/>
    <w:unhideWhenUsed/>
    <w:rsid w:val="003F1A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A7B"/>
  </w:style>
  <w:style w:type="paragraph" w:styleId="Fuzeile">
    <w:name w:val="footer"/>
    <w:basedOn w:val="Standard"/>
    <w:link w:val="FuzeileZchn"/>
    <w:uiPriority w:val="99"/>
    <w:unhideWhenUsed/>
    <w:rsid w:val="003F1A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A7B"/>
  </w:style>
  <w:style w:type="paragraph" w:styleId="Sprechblasentext">
    <w:name w:val="Balloon Text"/>
    <w:basedOn w:val="Standard"/>
    <w:link w:val="SprechblasentextZchn"/>
    <w:uiPriority w:val="99"/>
    <w:semiHidden/>
    <w:unhideWhenUsed/>
    <w:rsid w:val="000343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4343"/>
    <w:rPr>
      <w:rFonts w:ascii="Tahoma" w:hAnsi="Tahoma" w:cs="Tahoma"/>
      <w:sz w:val="16"/>
      <w:szCs w:val="16"/>
    </w:rPr>
  </w:style>
  <w:style w:type="paragraph" w:styleId="Funotentext">
    <w:name w:val="footnote text"/>
    <w:basedOn w:val="Standard"/>
    <w:link w:val="FunotentextZchn"/>
    <w:uiPriority w:val="99"/>
    <w:semiHidden/>
    <w:unhideWhenUsed/>
    <w:rsid w:val="005579EC"/>
    <w:pPr>
      <w:spacing w:after="0" w:line="240" w:lineRule="auto"/>
    </w:pPr>
    <w:rPr>
      <w:szCs w:val="20"/>
    </w:rPr>
  </w:style>
  <w:style w:type="character" w:customStyle="1" w:styleId="FunotentextZchn">
    <w:name w:val="Fußnotentext Zchn"/>
    <w:basedOn w:val="Absatz-Standardschriftart"/>
    <w:link w:val="Funotentext"/>
    <w:uiPriority w:val="99"/>
    <w:semiHidden/>
    <w:rsid w:val="005579EC"/>
    <w:rPr>
      <w:sz w:val="20"/>
      <w:szCs w:val="20"/>
    </w:rPr>
  </w:style>
  <w:style w:type="character" w:styleId="Funotenzeichen">
    <w:name w:val="footnote reference"/>
    <w:basedOn w:val="Absatz-Standardschriftart"/>
    <w:uiPriority w:val="99"/>
    <w:semiHidden/>
    <w:unhideWhenUsed/>
    <w:rsid w:val="005579EC"/>
    <w:rPr>
      <w:vertAlign w:val="superscript"/>
    </w:rPr>
  </w:style>
  <w:style w:type="character" w:customStyle="1" w:styleId="berschrift3Zchn">
    <w:name w:val="Überschrift 3 Zchn"/>
    <w:basedOn w:val="Absatz-Standardschriftart"/>
    <w:link w:val="berschrift3"/>
    <w:uiPriority w:val="9"/>
    <w:rsid w:val="00A30C4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6821B5"/>
    <w:pPr>
      <w:ind w:left="720"/>
      <w:contextualSpacing/>
    </w:pPr>
  </w:style>
  <w:style w:type="table" w:styleId="Tabellenraster">
    <w:name w:val="Table Grid"/>
    <w:basedOn w:val="NormaleTabelle"/>
    <w:uiPriority w:val="39"/>
    <w:rsid w:val="00EE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5D0C"/>
    <w:pPr>
      <w:spacing w:after="120"/>
      <w:jc w:val="both"/>
    </w:pPr>
    <w:rPr>
      <w:sz w:val="20"/>
    </w:rPr>
  </w:style>
  <w:style w:type="paragraph" w:styleId="berschrift1">
    <w:name w:val="heading 1"/>
    <w:basedOn w:val="Standard"/>
    <w:next w:val="Standard"/>
    <w:link w:val="berschrift1Zchn"/>
    <w:uiPriority w:val="9"/>
    <w:qFormat/>
    <w:rsid w:val="0028224D"/>
    <w:pPr>
      <w:keepNext/>
      <w:keepLines/>
      <w:spacing w:before="240" w:after="0"/>
      <w:outlineLvl w:val="0"/>
    </w:pPr>
    <w:rPr>
      <w:rFonts w:ascii="DIN Offc" w:eastAsiaTheme="majorEastAsia" w:hAnsi="DIN Offc" w:cstheme="majorBidi"/>
      <w:color w:val="C5015A"/>
      <w:sz w:val="32"/>
      <w:szCs w:val="32"/>
    </w:rPr>
  </w:style>
  <w:style w:type="paragraph" w:styleId="berschrift2">
    <w:name w:val="heading 2"/>
    <w:basedOn w:val="Standard"/>
    <w:next w:val="Standard"/>
    <w:link w:val="berschrift2Zchn"/>
    <w:uiPriority w:val="9"/>
    <w:unhideWhenUsed/>
    <w:qFormat/>
    <w:rsid w:val="00126807"/>
    <w:pPr>
      <w:keepNext/>
      <w:keepLines/>
      <w:spacing w:before="240" w:after="0"/>
      <w:outlineLvl w:val="1"/>
    </w:pPr>
    <w:rPr>
      <w:rFonts w:ascii="DIN Offc" w:eastAsiaTheme="majorEastAsia" w:hAnsi="DIN Offc" w:cstheme="majorBidi"/>
      <w:color w:val="C5015A"/>
      <w:sz w:val="26"/>
      <w:szCs w:val="26"/>
    </w:rPr>
  </w:style>
  <w:style w:type="paragraph" w:styleId="berschrift3">
    <w:name w:val="heading 3"/>
    <w:basedOn w:val="Standard"/>
    <w:next w:val="Standard"/>
    <w:link w:val="berschrift3Zchn"/>
    <w:uiPriority w:val="9"/>
    <w:unhideWhenUsed/>
    <w:qFormat/>
    <w:rsid w:val="00A30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2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2FC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224D"/>
    <w:rPr>
      <w:rFonts w:ascii="DIN Offc" w:eastAsiaTheme="majorEastAsia" w:hAnsi="DIN Offc" w:cstheme="majorBidi"/>
      <w:color w:val="C5015A"/>
      <w:sz w:val="32"/>
      <w:szCs w:val="32"/>
    </w:rPr>
  </w:style>
  <w:style w:type="character" w:customStyle="1" w:styleId="berschrift2Zchn">
    <w:name w:val="Überschrift 2 Zchn"/>
    <w:basedOn w:val="Absatz-Standardschriftart"/>
    <w:link w:val="berschrift2"/>
    <w:uiPriority w:val="9"/>
    <w:rsid w:val="00126807"/>
    <w:rPr>
      <w:rFonts w:ascii="DIN Offc" w:eastAsiaTheme="majorEastAsia" w:hAnsi="DIN Offc" w:cstheme="majorBidi"/>
      <w:color w:val="C5015A"/>
      <w:sz w:val="26"/>
      <w:szCs w:val="26"/>
    </w:rPr>
  </w:style>
  <w:style w:type="paragraph" w:styleId="Kopfzeile">
    <w:name w:val="header"/>
    <w:basedOn w:val="Standard"/>
    <w:link w:val="KopfzeileZchn"/>
    <w:uiPriority w:val="99"/>
    <w:unhideWhenUsed/>
    <w:rsid w:val="003F1A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A7B"/>
  </w:style>
  <w:style w:type="paragraph" w:styleId="Fuzeile">
    <w:name w:val="footer"/>
    <w:basedOn w:val="Standard"/>
    <w:link w:val="FuzeileZchn"/>
    <w:uiPriority w:val="99"/>
    <w:unhideWhenUsed/>
    <w:rsid w:val="003F1A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A7B"/>
  </w:style>
  <w:style w:type="paragraph" w:styleId="Sprechblasentext">
    <w:name w:val="Balloon Text"/>
    <w:basedOn w:val="Standard"/>
    <w:link w:val="SprechblasentextZchn"/>
    <w:uiPriority w:val="99"/>
    <w:semiHidden/>
    <w:unhideWhenUsed/>
    <w:rsid w:val="000343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4343"/>
    <w:rPr>
      <w:rFonts w:ascii="Tahoma" w:hAnsi="Tahoma" w:cs="Tahoma"/>
      <w:sz w:val="16"/>
      <w:szCs w:val="16"/>
    </w:rPr>
  </w:style>
  <w:style w:type="paragraph" w:styleId="Funotentext">
    <w:name w:val="footnote text"/>
    <w:basedOn w:val="Standard"/>
    <w:link w:val="FunotentextZchn"/>
    <w:uiPriority w:val="99"/>
    <w:semiHidden/>
    <w:unhideWhenUsed/>
    <w:rsid w:val="005579EC"/>
    <w:pPr>
      <w:spacing w:after="0" w:line="240" w:lineRule="auto"/>
    </w:pPr>
    <w:rPr>
      <w:szCs w:val="20"/>
    </w:rPr>
  </w:style>
  <w:style w:type="character" w:customStyle="1" w:styleId="FunotentextZchn">
    <w:name w:val="Fußnotentext Zchn"/>
    <w:basedOn w:val="Absatz-Standardschriftart"/>
    <w:link w:val="Funotentext"/>
    <w:uiPriority w:val="99"/>
    <w:semiHidden/>
    <w:rsid w:val="005579EC"/>
    <w:rPr>
      <w:sz w:val="20"/>
      <w:szCs w:val="20"/>
    </w:rPr>
  </w:style>
  <w:style w:type="character" w:styleId="Funotenzeichen">
    <w:name w:val="footnote reference"/>
    <w:basedOn w:val="Absatz-Standardschriftart"/>
    <w:uiPriority w:val="99"/>
    <w:semiHidden/>
    <w:unhideWhenUsed/>
    <w:rsid w:val="005579EC"/>
    <w:rPr>
      <w:vertAlign w:val="superscript"/>
    </w:rPr>
  </w:style>
  <w:style w:type="character" w:customStyle="1" w:styleId="berschrift3Zchn">
    <w:name w:val="Überschrift 3 Zchn"/>
    <w:basedOn w:val="Absatz-Standardschriftart"/>
    <w:link w:val="berschrift3"/>
    <w:uiPriority w:val="9"/>
    <w:rsid w:val="00A30C4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6821B5"/>
    <w:pPr>
      <w:ind w:left="720"/>
      <w:contextualSpacing/>
    </w:pPr>
  </w:style>
  <w:style w:type="table" w:styleId="Tabellenraster">
    <w:name w:val="Table Grid"/>
    <w:basedOn w:val="NormaleTabelle"/>
    <w:uiPriority w:val="39"/>
    <w:rsid w:val="00EE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2205">
      <w:bodyDiv w:val="1"/>
      <w:marLeft w:val="0"/>
      <w:marRight w:val="0"/>
      <w:marTop w:val="0"/>
      <w:marBottom w:val="0"/>
      <w:divBdr>
        <w:top w:val="none" w:sz="0" w:space="0" w:color="auto"/>
        <w:left w:val="none" w:sz="0" w:space="0" w:color="auto"/>
        <w:bottom w:val="none" w:sz="0" w:space="0" w:color="auto"/>
        <w:right w:val="none" w:sz="0" w:space="0" w:color="auto"/>
      </w:divBdr>
    </w:div>
    <w:div w:id="658003803">
      <w:bodyDiv w:val="1"/>
      <w:marLeft w:val="0"/>
      <w:marRight w:val="0"/>
      <w:marTop w:val="0"/>
      <w:marBottom w:val="0"/>
      <w:divBdr>
        <w:top w:val="none" w:sz="0" w:space="0" w:color="auto"/>
        <w:left w:val="none" w:sz="0" w:space="0" w:color="auto"/>
        <w:bottom w:val="none" w:sz="0" w:space="0" w:color="auto"/>
        <w:right w:val="none" w:sz="0" w:space="0" w:color="auto"/>
      </w:divBdr>
      <w:divsChild>
        <w:div w:id="1719737839">
          <w:marLeft w:val="0"/>
          <w:marRight w:val="0"/>
          <w:marTop w:val="0"/>
          <w:marBottom w:val="0"/>
          <w:divBdr>
            <w:top w:val="none" w:sz="0" w:space="0" w:color="auto"/>
            <w:left w:val="none" w:sz="0" w:space="0" w:color="auto"/>
            <w:bottom w:val="none" w:sz="0" w:space="0" w:color="auto"/>
            <w:right w:val="none" w:sz="0" w:space="0" w:color="auto"/>
          </w:divBdr>
        </w:div>
        <w:div w:id="1891377208">
          <w:marLeft w:val="0"/>
          <w:marRight w:val="0"/>
          <w:marTop w:val="0"/>
          <w:marBottom w:val="0"/>
          <w:divBdr>
            <w:top w:val="none" w:sz="0" w:space="0" w:color="auto"/>
            <w:left w:val="none" w:sz="0" w:space="0" w:color="auto"/>
            <w:bottom w:val="none" w:sz="0" w:space="0" w:color="auto"/>
            <w:right w:val="none" w:sz="0" w:space="0" w:color="auto"/>
          </w:divBdr>
        </w:div>
      </w:divsChild>
    </w:div>
    <w:div w:id="756285959">
      <w:bodyDiv w:val="1"/>
      <w:marLeft w:val="0"/>
      <w:marRight w:val="0"/>
      <w:marTop w:val="0"/>
      <w:marBottom w:val="0"/>
      <w:divBdr>
        <w:top w:val="none" w:sz="0" w:space="0" w:color="auto"/>
        <w:left w:val="none" w:sz="0" w:space="0" w:color="auto"/>
        <w:bottom w:val="none" w:sz="0" w:space="0" w:color="auto"/>
        <w:right w:val="none" w:sz="0" w:space="0" w:color="auto"/>
      </w:divBdr>
    </w:div>
    <w:div w:id="1263495923">
      <w:bodyDiv w:val="1"/>
      <w:marLeft w:val="0"/>
      <w:marRight w:val="0"/>
      <w:marTop w:val="0"/>
      <w:marBottom w:val="0"/>
      <w:divBdr>
        <w:top w:val="none" w:sz="0" w:space="0" w:color="auto"/>
        <w:left w:val="none" w:sz="0" w:space="0" w:color="auto"/>
        <w:bottom w:val="none" w:sz="0" w:space="0" w:color="auto"/>
        <w:right w:val="none" w:sz="0" w:space="0" w:color="auto"/>
      </w:divBdr>
    </w:div>
    <w:div w:id="1551915820">
      <w:bodyDiv w:val="1"/>
      <w:marLeft w:val="0"/>
      <w:marRight w:val="0"/>
      <w:marTop w:val="0"/>
      <w:marBottom w:val="0"/>
      <w:divBdr>
        <w:top w:val="none" w:sz="0" w:space="0" w:color="auto"/>
        <w:left w:val="none" w:sz="0" w:space="0" w:color="auto"/>
        <w:bottom w:val="none" w:sz="0" w:space="0" w:color="auto"/>
        <w:right w:val="none" w:sz="0" w:space="0" w:color="auto"/>
      </w:divBdr>
      <w:divsChild>
        <w:div w:id="199906523">
          <w:marLeft w:val="0"/>
          <w:marRight w:val="0"/>
          <w:marTop w:val="0"/>
          <w:marBottom w:val="0"/>
          <w:divBdr>
            <w:top w:val="none" w:sz="0" w:space="0" w:color="auto"/>
            <w:left w:val="none" w:sz="0" w:space="0" w:color="auto"/>
            <w:bottom w:val="none" w:sz="0" w:space="0" w:color="auto"/>
            <w:right w:val="none" w:sz="0" w:space="0" w:color="auto"/>
          </w:divBdr>
        </w:div>
        <w:div w:id="1903101405">
          <w:marLeft w:val="0"/>
          <w:marRight w:val="0"/>
          <w:marTop w:val="0"/>
          <w:marBottom w:val="0"/>
          <w:divBdr>
            <w:top w:val="none" w:sz="0" w:space="0" w:color="auto"/>
            <w:left w:val="none" w:sz="0" w:space="0" w:color="auto"/>
            <w:bottom w:val="none" w:sz="0" w:space="0" w:color="auto"/>
            <w:right w:val="none" w:sz="0" w:space="0" w:color="auto"/>
          </w:divBdr>
        </w:div>
        <w:div w:id="174343422">
          <w:marLeft w:val="0"/>
          <w:marRight w:val="0"/>
          <w:marTop w:val="0"/>
          <w:marBottom w:val="0"/>
          <w:divBdr>
            <w:top w:val="none" w:sz="0" w:space="0" w:color="auto"/>
            <w:left w:val="none" w:sz="0" w:space="0" w:color="auto"/>
            <w:bottom w:val="none" w:sz="0" w:space="0" w:color="auto"/>
            <w:right w:val="none" w:sz="0" w:space="0" w:color="auto"/>
          </w:divBdr>
        </w:div>
      </w:divsChild>
    </w:div>
    <w:div w:id="1553732035">
      <w:bodyDiv w:val="1"/>
      <w:marLeft w:val="0"/>
      <w:marRight w:val="0"/>
      <w:marTop w:val="0"/>
      <w:marBottom w:val="0"/>
      <w:divBdr>
        <w:top w:val="none" w:sz="0" w:space="0" w:color="auto"/>
        <w:left w:val="none" w:sz="0" w:space="0" w:color="auto"/>
        <w:bottom w:val="none" w:sz="0" w:space="0" w:color="auto"/>
        <w:right w:val="none" w:sz="0" w:space="0" w:color="auto"/>
      </w:divBdr>
      <w:divsChild>
        <w:div w:id="272709303">
          <w:marLeft w:val="0"/>
          <w:marRight w:val="0"/>
          <w:marTop w:val="0"/>
          <w:marBottom w:val="0"/>
          <w:divBdr>
            <w:top w:val="none" w:sz="0" w:space="0" w:color="auto"/>
            <w:left w:val="none" w:sz="0" w:space="0" w:color="auto"/>
            <w:bottom w:val="none" w:sz="0" w:space="0" w:color="auto"/>
            <w:right w:val="none" w:sz="0" w:space="0" w:color="auto"/>
          </w:divBdr>
        </w:div>
        <w:div w:id="28797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B666-72EA-49DA-BA72-53CFF7E1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2533</Words>
  <Characters>15962</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 Franck</dc:creator>
  <cp:lastModifiedBy>Heiko Behrendt</cp:lastModifiedBy>
  <cp:revision>2</cp:revision>
  <cp:lastPrinted>2017-02-15T12:51:00Z</cp:lastPrinted>
  <dcterms:created xsi:type="dcterms:W3CDTF">2018-04-25T13:56:00Z</dcterms:created>
  <dcterms:modified xsi:type="dcterms:W3CDTF">2018-04-25T13:56:00Z</dcterms:modified>
</cp:coreProperties>
</file>