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Fiche de Portefeuille Client</w:t>
      </w:r>
    </w:p>
    <w:p/>
    <w:p>
      <w:pPr>
        <w:pStyle w:val="Heading2"/>
      </w:pPr>
      <w:r>
        <w:t>Profil de l'investisseur</w:t>
      </w:r>
    </w:p>
    <w:p>
      <w:r>
        <w:t>Objectif Financier : Préparer la retraite</w:t>
      </w:r>
    </w:p>
    <w:p>
      <w:r>
        <w:t>Horizon d'Investissement : 10 ans</w:t>
      </w:r>
    </w:p>
    <w:p>
      <w:r>
        <w:t>Tolérance au Risque : Faible</w:t>
      </w:r>
    </w:p>
    <w:p>
      <w:r>
        <w:t>Montant investi : 50,000 $</w:t>
      </w:r>
    </w:p>
    <w:p/>
    <w:p>
      <w:pPr>
        <w:pStyle w:val="Heading2"/>
      </w:pPr>
      <w:r>
        <w:t>Résumé général</w:t>
      </w:r>
    </w:p>
    <w:p>
      <w:r>
        <w:t>Votre portefeuille vise une croissance dynamique tout en maîtrisant les risques. Il est diversifié entre plusieurs types d'actifs, couvrant différentes zones géographiques et secteurs économiques. Cette allocation permet d'équilibrer rendement potentiel et gestion prudente des risques.</w:t>
      </w:r>
    </w:p>
    <w:p/>
    <w:p>
      <w:pPr>
        <w:pStyle w:val="Heading2"/>
      </w:pPr>
      <w:r>
        <w:t>Composition par Type d'Actif</w:t>
      </w:r>
    </w:p>
    <w:tbl>
      <w:tblPr>
        <w:tblStyle w:val="LightList-Accent1"/>
        <w:tblW w:type="auto" w:w="0"/>
        <w:tblLook w:firstColumn="1" w:firstRow="1" w:lastColumn="0" w:lastRow="0" w:noHBand="0" w:noVBand="1" w:val="04A0"/>
      </w:tblPr>
      <w:tblGrid>
        <w:gridCol w:w="4320"/>
        <w:gridCol w:w="4320"/>
      </w:tblGrid>
      <w:tr>
        <w:tc>
          <w:tcPr>
            <w:tcW w:type="dxa" w:w="4320"/>
          </w:tcPr>
          <w:p>
            <w:r>
              <w:t>Type d'Actif</w:t>
            </w:r>
          </w:p>
        </w:tc>
        <w:tc>
          <w:tcPr>
            <w:tcW w:type="dxa" w:w="4320"/>
          </w:tcPr>
          <w:p>
            <w:r>
              <w:t>Valeur Totale ($)</w:t>
            </w:r>
          </w:p>
        </w:tc>
      </w:tr>
      <w:tr>
        <w:tc>
          <w:tcPr>
            <w:tcW w:type="dxa" w:w="4320"/>
          </w:tcPr>
          <w:p>
            <w:r>
              <w:t>Actions</w:t>
            </w:r>
          </w:p>
        </w:tc>
        <w:tc>
          <w:tcPr>
            <w:tcW w:type="dxa" w:w="4320"/>
          </w:tcPr>
          <w:p>
            <w:r>
              <w:t>13,259.91</w:t>
            </w:r>
          </w:p>
        </w:tc>
      </w:tr>
      <w:tr>
        <w:tc>
          <w:tcPr>
            <w:tcW w:type="dxa" w:w="4320"/>
          </w:tcPr>
          <w:p>
            <w:r>
              <w:t>Obligations</w:t>
            </w:r>
          </w:p>
        </w:tc>
        <w:tc>
          <w:tcPr>
            <w:tcW w:type="dxa" w:w="4320"/>
          </w:tcPr>
          <w:p>
            <w:r>
              <w:t>18,148.64</w:t>
            </w:r>
          </w:p>
        </w:tc>
      </w:tr>
    </w:tbl>
    <w:p/>
    <w:p>
      <w:pPr>
        <w:pStyle w:val="Heading2"/>
      </w:pPr>
      <w:r>
        <w:t>Répartition Sectorielle</w:t>
      </w:r>
    </w:p>
    <w:tbl>
      <w:tblPr>
        <w:tblStyle w:val="LightList-Accent2"/>
        <w:tblW w:type="auto" w:w="0"/>
        <w:tblLook w:firstColumn="1" w:firstRow="1" w:lastColumn="0" w:lastRow="0" w:noHBand="0" w:noVBand="1" w:val="04A0"/>
      </w:tblPr>
      <w:tblGrid>
        <w:gridCol w:w="4320"/>
        <w:gridCol w:w="4320"/>
      </w:tblGrid>
      <w:tr>
        <w:tc>
          <w:tcPr>
            <w:tcW w:type="dxa" w:w="4320"/>
          </w:tcPr>
          <w:p>
            <w:r>
              <w:t>Secteur</w:t>
            </w:r>
          </w:p>
        </w:tc>
        <w:tc>
          <w:tcPr>
            <w:tcW w:type="dxa" w:w="4320"/>
          </w:tcPr>
          <w:p>
            <w:r>
              <w:t>Valeur Totale ($)</w:t>
            </w:r>
          </w:p>
        </w:tc>
      </w:tr>
      <w:tr>
        <w:tc>
          <w:tcPr>
            <w:tcW w:type="dxa" w:w="4320"/>
          </w:tcPr>
          <w:p>
            <w:r>
              <w:t>Aéronautique</w:t>
            </w:r>
          </w:p>
        </w:tc>
        <w:tc>
          <w:tcPr>
            <w:tcW w:type="dxa" w:w="4320"/>
          </w:tcPr>
          <w:p>
            <w:r>
              <w:t>4,499.20</w:t>
            </w:r>
          </w:p>
        </w:tc>
      </w:tr>
      <w:tr>
        <w:tc>
          <w:tcPr>
            <w:tcW w:type="dxa" w:w="4320"/>
          </w:tcPr>
          <w:p>
            <w:r>
              <w:t>Diversifié</w:t>
            </w:r>
          </w:p>
        </w:tc>
        <w:tc>
          <w:tcPr>
            <w:tcW w:type="dxa" w:w="4320"/>
          </w:tcPr>
          <w:p>
            <w:r>
              <w:t>18,148.64</w:t>
            </w:r>
          </w:p>
        </w:tc>
      </w:tr>
      <w:tr>
        <w:tc>
          <w:tcPr>
            <w:tcW w:type="dxa" w:w="4320"/>
          </w:tcPr>
          <w:p>
            <w:r>
              <w:t>E-commerce</w:t>
            </w:r>
          </w:p>
        </w:tc>
        <w:tc>
          <w:tcPr>
            <w:tcW w:type="dxa" w:w="4320"/>
          </w:tcPr>
          <w:p>
            <w:r>
              <w:t>4,450.36</w:t>
            </w:r>
          </w:p>
        </w:tc>
      </w:tr>
      <w:tr>
        <w:tc>
          <w:tcPr>
            <w:tcW w:type="dxa" w:w="4320"/>
          </w:tcPr>
          <w:p>
            <w:r>
              <w:t>Technologie</w:t>
            </w:r>
          </w:p>
        </w:tc>
        <w:tc>
          <w:tcPr>
            <w:tcW w:type="dxa" w:w="4320"/>
          </w:tcPr>
          <w:p>
            <w:r>
              <w:t>4,310.35</w:t>
            </w:r>
          </w:p>
        </w:tc>
      </w:tr>
    </w:tbl>
    <w:p/>
    <w:p>
      <w:pPr>
        <w:pStyle w:val="Heading2"/>
      </w:pPr>
      <w:r>
        <w:t>Répartition Géographique</w:t>
      </w:r>
    </w:p>
    <w:tbl>
      <w:tblPr>
        <w:tblStyle w:val="LightList-Accent3"/>
        <w:tblW w:type="auto" w:w="0"/>
        <w:tblLook w:firstColumn="1" w:firstRow="1" w:lastColumn="0" w:lastRow="0" w:noHBand="0" w:noVBand="1" w:val="04A0"/>
      </w:tblPr>
      <w:tblGrid>
        <w:gridCol w:w="4320"/>
        <w:gridCol w:w="4320"/>
      </w:tblGrid>
      <w:tr>
        <w:tc>
          <w:tcPr>
            <w:tcW w:type="dxa" w:w="4320"/>
          </w:tcPr>
          <w:p>
            <w:r>
              <w:t>Zone Géographique</w:t>
            </w:r>
          </w:p>
        </w:tc>
        <w:tc>
          <w:tcPr>
            <w:tcW w:type="dxa" w:w="4320"/>
          </w:tcPr>
          <w:p>
            <w:r>
              <w:t>Valeur Totale ($)</w:t>
            </w:r>
          </w:p>
        </w:tc>
      </w:tr>
      <w:tr>
        <w:tc>
          <w:tcPr>
            <w:tcW w:type="dxa" w:w="4320"/>
          </w:tcPr>
          <w:p>
            <w:r>
              <w:t>Asie</w:t>
            </w:r>
          </w:p>
        </w:tc>
        <w:tc>
          <w:tcPr>
            <w:tcW w:type="dxa" w:w="4320"/>
          </w:tcPr>
          <w:p>
            <w:r>
              <w:t>4,450.36</w:t>
            </w:r>
          </w:p>
        </w:tc>
      </w:tr>
      <w:tr>
        <w:tc>
          <w:tcPr>
            <w:tcW w:type="dxa" w:w="4320"/>
          </w:tcPr>
          <w:p>
            <w:r>
              <w:t>Europe</w:t>
            </w:r>
          </w:p>
        </w:tc>
        <w:tc>
          <w:tcPr>
            <w:tcW w:type="dxa" w:w="4320"/>
          </w:tcPr>
          <w:p>
            <w:r>
              <w:t>4,499.20</w:t>
            </w:r>
          </w:p>
        </w:tc>
      </w:tr>
      <w:tr>
        <w:tc>
          <w:tcPr>
            <w:tcW w:type="dxa" w:w="4320"/>
          </w:tcPr>
          <w:p>
            <w:r>
              <w:t>USA</w:t>
            </w:r>
          </w:p>
        </w:tc>
        <w:tc>
          <w:tcPr>
            <w:tcW w:type="dxa" w:w="4320"/>
          </w:tcPr>
          <w:p>
            <w:r>
              <w:t>22,458.99</w:t>
            </w:r>
          </w:p>
        </w:tc>
      </w:tr>
    </w:tbl>
    <w:p/>
    <w:p>
      <w:pPr>
        <w:pStyle w:val="Heading2"/>
      </w:pPr>
      <w:r>
        <w:t>Analyse Quantitative</w:t>
      </w:r>
    </w:p>
    <w:tbl>
      <w:tblPr>
        <w:tblStyle w:val="LightList-Accent4"/>
        <w:tblW w:type="auto" w:w="0"/>
        <w:tblLook w:firstColumn="1" w:firstRow="1" w:lastColumn="0" w:lastRow="0" w:noHBand="0" w:noVBand="1" w:val="04A0"/>
      </w:tblPr>
      <w:tblGrid>
        <w:gridCol w:w="4320"/>
        <w:gridCol w:w="4320"/>
      </w:tblGrid>
      <w:tr>
        <w:tc>
          <w:tcPr>
            <w:tcW w:type="dxa" w:w="4320"/>
          </w:tcPr>
          <w:p>
            <w:r>
              <w:t>Indicateur</w:t>
            </w:r>
          </w:p>
        </w:tc>
        <w:tc>
          <w:tcPr>
            <w:tcW w:type="dxa" w:w="4320"/>
          </w:tcPr>
          <w:p>
            <w:r>
              <w:t>Valeur</w:t>
            </w:r>
          </w:p>
        </w:tc>
      </w:tr>
      <w:tr>
        <w:tc>
          <w:tcPr>
            <w:tcW w:type="dxa" w:w="4320"/>
          </w:tcPr>
          <w:p>
            <w:r>
              <w:t>Rendement Total (%)</w:t>
            </w:r>
          </w:p>
        </w:tc>
        <w:tc>
          <w:tcPr>
            <w:tcW w:type="dxa" w:w="4320"/>
          </w:tcPr>
          <w:p>
            <w:r>
              <w:t>6.66</w:t>
            </w:r>
          </w:p>
        </w:tc>
      </w:tr>
      <w:tr>
        <w:tc>
          <w:tcPr>
            <w:tcW w:type="dxa" w:w="4320"/>
          </w:tcPr>
          <w:p>
            <w:r>
              <w:t>CAGR (%)</w:t>
            </w:r>
          </w:p>
        </w:tc>
        <w:tc>
          <w:tcPr>
            <w:tcW w:type="dxa" w:w="4320"/>
          </w:tcPr>
          <w:p>
            <w:r>
              <w:t>3.01</w:t>
            </w:r>
          </w:p>
        </w:tc>
      </w:tr>
      <w:tr>
        <w:tc>
          <w:tcPr>
            <w:tcW w:type="dxa" w:w="4320"/>
          </w:tcPr>
          <w:p>
            <w:r>
              <w:t>Volatilité Mensuelle (%)</w:t>
            </w:r>
          </w:p>
        </w:tc>
        <w:tc>
          <w:tcPr>
            <w:tcW w:type="dxa" w:w="4320"/>
          </w:tcPr>
          <w:p>
            <w:r>
              <w:t>0.27</w:t>
            </w:r>
          </w:p>
        </w:tc>
      </w:tr>
      <w:tr>
        <w:tc>
          <w:tcPr>
            <w:tcW w:type="dxa" w:w="4320"/>
          </w:tcPr>
          <w:p>
            <w:r>
              <w:t>Maximum Drawdown (%)</w:t>
            </w:r>
          </w:p>
        </w:tc>
        <w:tc>
          <w:tcPr>
            <w:tcW w:type="dxa" w:w="4320"/>
          </w:tcPr>
          <w:p>
            <w:r>
              <w:t>3.66</w:t>
            </w:r>
          </w:p>
        </w:tc>
      </w:tr>
    </w:tbl>
    <w:p/>
    <w:p>
      <w:pPr>
        <w:pStyle w:val="Heading2"/>
      </w:pPr>
      <w:r>
        <w:t>Stress Tests - Pertes Maximales</w:t>
      </w:r>
    </w:p>
    <w:tbl>
      <w:tblPr>
        <w:tblStyle w:val="LightList-Accent5"/>
        <w:tblW w:type="auto" w:w="0"/>
        <w:tblLook w:firstColumn="1" w:firstRow="1" w:lastColumn="0" w:lastRow="0" w:noHBand="0" w:noVBand="1" w:val="04A0"/>
      </w:tblPr>
      <w:tblGrid>
        <w:gridCol w:w="4320"/>
        <w:gridCol w:w="4320"/>
      </w:tblGrid>
      <w:tr>
        <w:tc>
          <w:tcPr>
            <w:tcW w:type="dxa" w:w="4320"/>
          </w:tcPr>
          <w:p>
            <w:r>
              <w:t>Scénario</w:t>
            </w:r>
          </w:p>
        </w:tc>
        <w:tc>
          <w:tcPr>
            <w:tcW w:type="dxa" w:w="4320"/>
          </w:tcPr>
          <w:p>
            <w:r>
              <w:t>Perte (%)</w:t>
            </w:r>
          </w:p>
        </w:tc>
      </w:tr>
      <w:tr>
        <w:tc>
          <w:tcPr>
            <w:tcW w:type="dxa" w:w="4320"/>
          </w:tcPr>
          <w:p>
            <w:r>
              <w:t>COVID-19</w:t>
            </w:r>
          </w:p>
        </w:tc>
        <w:tc>
          <w:tcPr>
            <w:tcW w:type="dxa" w:w="4320"/>
          </w:tcPr>
          <w:p>
            <w:r>
              <w:t>8.81</w:t>
            </w:r>
          </w:p>
        </w:tc>
      </w:tr>
      <w:tr>
        <w:tc>
          <w:tcPr>
            <w:tcW w:type="dxa" w:w="4320"/>
          </w:tcPr>
          <w:p>
            <w:r>
              <w:t>Crise 2008</w:t>
            </w:r>
          </w:p>
        </w:tc>
        <w:tc>
          <w:tcPr>
            <w:tcW w:type="dxa" w:w="4320"/>
          </w:tcPr>
          <w:p>
            <w:r>
              <w:t>16.56</w:t>
            </w:r>
          </w:p>
        </w:tc>
      </w:tr>
      <w:tr>
        <w:tc>
          <w:tcPr>
            <w:tcW w:type="dxa" w:w="4320"/>
          </w:tcPr>
          <w:p>
            <w:r>
              <w:t>Inflation forte</w:t>
            </w:r>
          </w:p>
        </w:tc>
        <w:tc>
          <w:tcPr>
            <w:tcW w:type="dxa" w:w="4320"/>
          </w:tcPr>
          <w:p>
            <w:r>
              <w:t>3.53</w:t>
            </w:r>
          </w:p>
        </w:tc>
      </w:tr>
      <w:tr>
        <w:tc>
          <w:tcPr>
            <w:tcW w:type="dxa" w:w="4320"/>
          </w:tcPr>
          <w:p>
            <w:r>
              <w:t>Croissance économique</w:t>
            </w:r>
          </w:p>
        </w:tc>
        <w:tc>
          <w:tcPr>
            <w:tcW w:type="dxa" w:w="4320"/>
          </w:tcPr>
          <w:p>
            <w:r>
              <w:t>-6.34</w:t>
            </w:r>
          </w:p>
        </w:tc>
      </w:tr>
    </w:tbl>
    <w:p/>
    <w:p>
      <w:pPr>
        <w:pStyle w:val="Heading2"/>
      </w:pPr>
      <w:r>
        <w:t>Graphique de Répartition</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