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yca7cmotcg0" w:id="0"/>
    <w:bookmarkEnd w:id="0"/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Georgia" w:cs="Georgia" w:eastAsia="Georgia" w:hAnsi="Georgia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44"/>
          <w:szCs w:val="44"/>
          <w:rtl w:val="0"/>
        </w:rPr>
        <w:t xml:space="preserve">Бизнес-требования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Georgia" w:cs="Georgia" w:eastAsia="Georgia" w:hAnsi="Georgia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44"/>
          <w:szCs w:val="44"/>
          <w:rtl w:val="0"/>
        </w:rPr>
        <w:t xml:space="preserve">по проекту «Пульс клиента»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Georgia" w:cs="Georgia" w:eastAsia="Georgia" w:hAnsi="Georgia"/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88" w:lineRule="auto"/>
        <w:rPr>
          <w:rFonts w:ascii="Georgia" w:cs="Georgia" w:eastAsia="Georgia" w:hAnsi="Georgia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1. Общая информация</w:t>
      </w:r>
      <w:r w:rsidDel="00000000" w:rsidR="00000000" w:rsidRPr="00000000">
        <w:rPr>
          <w:rtl w:val="0"/>
        </w:rPr>
      </w:r>
    </w:p>
    <w:tbl>
      <w:tblPr>
        <w:tblStyle w:val="Table1"/>
        <w:tblW w:w="9629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992"/>
        <w:gridCol w:w="7637"/>
        <w:tblGridChange w:id="0">
          <w:tblGrid>
            <w:gridCol w:w="1992"/>
            <w:gridCol w:w="7637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Georgia" w:cs="Georgia" w:eastAsia="Georgia" w:hAnsi="Georgi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Раздел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eorgia" w:cs="Georgia" w:eastAsia="Georgia" w:hAnsi="Georgi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eorgia" w:cs="Georgia" w:eastAsia="Georgia" w:hAnsi="Georgi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1"/>
                <w:szCs w:val="21"/>
                <w:rtl w:val="0"/>
              </w:rPr>
              <w:t xml:space="preserve">Название задачи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Сервис «Пульс клиента» в карточке клиента в SFA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eorgia" w:cs="Georgia" w:eastAsia="Georgia" w:hAnsi="Georgi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1"/>
                <w:szCs w:val="21"/>
                <w:rtl w:val="0"/>
              </w:rPr>
              <w:t xml:space="preserve">Контактное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eorgia" w:cs="Georgia" w:eastAsia="Georgia" w:hAnsi="Georgi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1"/>
                <w:szCs w:val="21"/>
                <w:rtl w:val="0"/>
              </w:rPr>
              <w:t xml:space="preserve">Маркова Елена Сергеевна, Начальник отдела клиентского опыта среднего, крупного и инвестиционного бизнеса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eorgia" w:cs="Georgia" w:eastAsia="Georgia" w:hAnsi="Georgi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1"/>
                <w:szCs w:val="21"/>
                <w:rtl w:val="0"/>
              </w:rPr>
              <w:t xml:space="preserve">Наличие в мастер-плане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eorgia" w:cs="Georgia" w:eastAsia="Georgia" w:hAnsi="Georgi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1"/>
                <w:szCs w:val="21"/>
                <w:rtl w:val="0"/>
              </w:rPr>
              <w:t xml:space="preserve">Да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eorgia" w:cs="Georgia" w:eastAsia="Georgia" w:hAnsi="Georgi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1"/>
                <w:szCs w:val="21"/>
                <w:rtl w:val="0"/>
              </w:rPr>
              <w:t xml:space="preserve">Сервис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eorgia" w:cs="Georgia" w:eastAsia="Georgia" w:hAnsi="Georgi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1"/>
                <w:szCs w:val="21"/>
                <w:rtl w:val="0"/>
              </w:rPr>
              <w:t xml:space="preserve">Сервис «Пульс клиента» - внутренний ассистент (аналитический виджет), встроенный в карточку клиента в SFA. 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eorgia" w:cs="Georgia" w:eastAsia="Georgia" w:hAnsi="Georgi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1"/>
                <w:szCs w:val="21"/>
                <w:rtl w:val="0"/>
              </w:rPr>
              <w:t xml:space="preserve">Назначение сервиса - помощь клиентскому менеджеру среднего бизнеса в продажах и снижении риска оттока клиентов за счет предоставления быстрого и понятного контекста об эмоциональном состоянии клиента.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eorgia" w:cs="Georgia" w:eastAsia="Georgia" w:hAnsi="Georgi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1"/>
                <w:szCs w:val="21"/>
                <w:rtl w:val="0"/>
              </w:rPr>
              <w:t xml:space="preserve">Ключевые пользователи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Клиентские менеджеры сегмента среднего бизнеса (далее, КМ):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highlight w:val="white"/>
                <w:rtl w:val="0"/>
              </w:rPr>
              <w:t xml:space="preserve">- </w:t>
            </w: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Руководитель клиентской команды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- Главный менеджер по работе с клиентами среднего бизнеса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- Ведущий менеджер по работе с клиентами среднего бизнеса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Косвенно: 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-Начальник управления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-Начальник отдела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После реализации, масштабируем на:  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Менеджеры счета (F4)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Клиентские менеджеры КИБ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</w:tabs>
        <w:spacing w:after="60" w:before="240" w:line="240" w:lineRule="auto"/>
        <w:ind w:left="1080" w:right="0" w:hanging="108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Основные термины и сокращения</w:t>
      </w:r>
    </w:p>
    <w:tbl>
      <w:tblPr>
        <w:tblStyle w:val="Table2"/>
        <w:tblW w:w="101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6515"/>
        <w:tblGridChange w:id="0">
          <w:tblGrid>
            <w:gridCol w:w="3681"/>
            <w:gridCol w:w="6515"/>
          </w:tblGrid>
        </w:tblGridChange>
      </w:tblGrid>
      <w:tr>
        <w:trPr>
          <w:cantSplit w:val="0"/>
          <w:trHeight w:val="346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1"/>
              <w:tabs>
                <w:tab w:val="left" w:leader="none" w:pos="432"/>
              </w:tabs>
              <w:spacing w:after="60" w:befor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Банк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1"/>
              <w:tabs>
                <w:tab w:val="left" w:leader="none" w:pos="432"/>
              </w:tabs>
              <w:spacing w:after="60" w:befor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АО «АЛЬФА-БАНК».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2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1"/>
              <w:tabs>
                <w:tab w:val="left" w:leader="none" w:pos="432"/>
              </w:tabs>
              <w:spacing w:after="60" w:befor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Пульс клиента (Индекс лояльности клиента СКБ)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1"/>
              <w:tabs>
                <w:tab w:val="left" w:leader="none" w:pos="432"/>
              </w:tabs>
              <w:spacing w:after="60" w:befor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индивидуальная оценка клиента, которая позволяет считывать текущее настроение клиента к банку на базе всей обратной связи клиента, включающей оценки VoC, прямую речь клиента, экспертизу УИУКО, претензии и пр.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1"/>
              <w:tabs>
                <w:tab w:val="left" w:leader="none" w:pos="432"/>
              </w:tabs>
              <w:spacing w:after="60" w:befor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Клиент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1"/>
              <w:tabs>
                <w:tab w:val="left" w:leader="none" w:pos="432"/>
              </w:tabs>
              <w:spacing w:after="60" w:before="240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юридическое лицо, в том числе действующее в лице своего представительства или    филиала, физическое лицо – индивидуальный предприниматель, осуществляющий свою деятельность без образования юридического лица, или физическое лицо, занимающееся частной практикой в порядке, установленном действующим законодательством Российской Федерации, имеющие открытый в Банке Счет.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1"/>
              <w:tabs>
                <w:tab w:val="left" w:leader="none" w:pos="432"/>
              </w:tabs>
              <w:spacing w:after="60" w:befor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SFA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1"/>
              <w:tabs>
                <w:tab w:val="left" w:leader="none" w:pos="432"/>
              </w:tabs>
              <w:spacing w:after="60" w:befor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это система автоматизации процессов продаж, которая упрощает рутинные задачи и повышает эффективность работы клиентских менеджеров среднего бизнеса.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1"/>
              <w:tabs>
                <w:tab w:val="left" w:leader="none" w:pos="432"/>
              </w:tabs>
              <w:spacing w:after="60" w:befor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VoC-платформа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1"/>
              <w:tabs>
                <w:tab w:val="left" w:leader="none" w:pos="432"/>
              </w:tabs>
              <w:spacing w:after="60" w:befor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инструмент работы с обратной связью от клиентов, позволяющий видеть оценки клиентов и работать над улучшением банковских продуктов и процессов.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1"/>
              <w:tabs>
                <w:tab w:val="left" w:leader="none" w:pos="432"/>
              </w:tabs>
              <w:spacing w:after="60" w:befor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Claim CRM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1"/>
              <w:tabs>
                <w:tab w:val="left" w:leader="none" w:pos="432"/>
              </w:tabs>
              <w:spacing w:after="60" w:befor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это система для регистрации и обработки обращений.</w:t>
            </w:r>
          </w:p>
        </w:tc>
      </w:tr>
      <w:tr>
        <w:trPr>
          <w:cantSplit w:val="0"/>
          <w:trHeight w:val="1058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1"/>
              <w:tabs>
                <w:tab w:val="left" w:leader="none" w:pos="432"/>
              </w:tabs>
              <w:spacing w:after="60" w:befor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Оценка VoC (Voice of the Customer)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51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– это оценка сервисов, продуктов и каналов банка глазами клиента от 1 до 5. Она позволяет повысить лояльность клиентов, уменьшить отток и увеличить число рекомендаций.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1"/>
              <w:tabs>
                <w:tab w:val="left" w:leader="none" w:pos="432"/>
              </w:tabs>
              <w:spacing w:after="60" w:befor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Alert VoC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1"/>
              <w:tabs>
                <w:tab w:val="left" w:leader="none" w:pos="432"/>
              </w:tabs>
              <w:spacing w:after="60" w:befor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оценка клиента по сервисам, продуктам и каналам банка от 1 до 3.  </w:t>
            </w:r>
          </w:p>
        </w:tc>
      </w:tr>
    </w:tbl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1" w:lineRule="auto"/>
        <w:rPr>
          <w:rFonts w:ascii="Georgia" w:cs="Georgia" w:eastAsia="Georgia" w:hAnsi="Georgia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1" w:lineRule="auto"/>
        <w:rPr>
          <w:rFonts w:ascii="Georgia" w:cs="Georgia" w:eastAsia="Georgia" w:hAnsi="Georgia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1" w:lineRule="auto"/>
        <w:rPr>
          <w:rFonts w:ascii="Georgia" w:cs="Georgia" w:eastAsia="Georgia" w:hAnsi="Georgia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1" w:lineRule="auto"/>
        <w:rPr>
          <w:rFonts w:ascii="Georgia" w:cs="Georgia" w:eastAsia="Georgia" w:hAnsi="Georgia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1" w:lineRule="auto"/>
        <w:rPr>
          <w:rFonts w:ascii="Georgia" w:cs="Georgia" w:eastAsia="Georgia" w:hAnsi="Georgia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bookmarkStart w:colFirst="0" w:colLast="0" w:name="bookmark=id.z6q5igtkewso" w:id="1"/>
    <w:bookmarkEnd w:id="1"/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1" w:lineRule="auto"/>
        <w:rPr>
          <w:rFonts w:ascii="Georgia" w:cs="Georgia" w:eastAsia="Georgia" w:hAnsi="Georgia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2. Контекст и цель</w:t>
      </w:r>
      <w:r w:rsidDel="00000000" w:rsidR="00000000" w:rsidRPr="00000000">
        <w:rPr>
          <w:rtl w:val="0"/>
        </w:rPr>
      </w:r>
    </w:p>
    <w:tbl>
      <w:tblPr>
        <w:tblStyle w:val="Table3"/>
        <w:tblW w:w="9913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119"/>
        <w:gridCol w:w="7794"/>
        <w:tblGridChange w:id="0">
          <w:tblGrid>
            <w:gridCol w:w="2119"/>
            <w:gridCol w:w="7794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Georgia" w:cs="Georgia" w:eastAsia="Georgia" w:hAnsi="Georgi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Раздел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eorgia" w:cs="Georgia" w:eastAsia="Georgia" w:hAnsi="Georgi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1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eorgia" w:cs="Georgia" w:eastAsia="Georgia" w:hAnsi="Georgi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1"/>
                <w:szCs w:val="21"/>
                <w:rtl w:val="0"/>
              </w:rPr>
              <w:t xml:space="preserve">Контекст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color w:val="000000"/>
              </w:rPr>
            </w:pPr>
            <w:bookmarkStart w:colFirst="0" w:colLast="0" w:name="_heading=h.6oyjler68oss" w:id="2"/>
            <w:bookmarkEnd w:id="2"/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Ключевые проблемы: данные о клиенте находятся в разных системах; решения о продажах принимаются без понимания реального настроения клиента. КМ не обладает всей информацией о клиенте, связанн с его взаимодействием с банком. Для подготовки к взаимодействию с клиентом КМ приходится вручную собирать информацию из нескольких систем, что увеличивает время анализа и снижает эффективность продаж.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Клиентские менеджеры работают в условиях высокой многозадачности: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94" w:hanging="274"/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новые клиенты/проспекты - от 10 до 50 дозвонов в день;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94" w:hanging="274"/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текущие клиенты - от 2-3 до 15-20 контактов в день;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94" w:hanging="274"/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личные встречи - от 1 встречи в 2 дня до 5 в неделю.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Данные о клиенте находятся более, чем в 5 системах: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94" w:hanging="274"/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SFA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94" w:hanging="274"/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СПАРК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94" w:hanging="274"/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Кредитный конвейер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94" w:hanging="274"/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BI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94" w:hanging="274"/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АльфаБук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94" w:hanging="274"/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VoC-Платформа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94" w:hanging="274"/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ClaimCRM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94" w:hanging="274"/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Чаты Альфа Босс и тд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Подготовка к звонку требует ручного сбора информации из разных систем: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94" w:hanging="283"/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для новых клиентов - СПАРК, сайт клиента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94" w:hanging="283"/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для текущих клиентов - SFA, BI, кредитный конвейер, анализ тарифов, VoC, ClaimCRM, чаты и др.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eorgia" w:cs="Georgia" w:eastAsia="Georgia" w:hAnsi="Georgi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1"/>
                <w:szCs w:val="21"/>
                <w:rtl w:val="0"/>
              </w:rPr>
              <w:t xml:space="preserve">Цель MVP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Rule="auto"/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Обеспечить КМ «карточкой готовности к разговору» перед звонком/встречей: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94" w:hanging="283"/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с контекстом клиента и его настроением;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94" w:hanging="283"/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жалобами;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94" w:hanging="283"/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зонами риска;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94" w:hanging="283"/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рекомендациями и продуктовыми предложениями по взаимодействию</w:t>
            </w:r>
          </w:p>
        </w:tc>
      </w:tr>
    </w:tbl>
    <w:bookmarkStart w:colFirst="0" w:colLast="0" w:name="bookmark=id.jfrkwpou9uw8" w:id="3"/>
    <w:bookmarkEnd w:id="3"/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1" w:lineRule="auto"/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42"/>
          <w:szCs w:val="42"/>
          <w:rtl w:val="0"/>
        </w:rPr>
        <w:t xml:space="preserve">3. Что нужно сделать (mvp)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1" w:lineRule="auto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8"/>
          <w:szCs w:val="28"/>
          <w:rtl w:val="0"/>
        </w:rPr>
        <w:t xml:space="preserve">1. Саммаризация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3.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1.1. Использовать для расчета </w:t>
      </w:r>
      <w:r w:rsidDel="00000000" w:rsidR="00000000" w:rsidRPr="00000000">
        <w:rPr>
          <w:rFonts w:ascii="Times" w:cs="Times" w:eastAsia="Times" w:hAnsi="Times"/>
          <w:i w:val="1"/>
          <w:iCs w:val="1"/>
          <w:color w:val="000000"/>
          <w:rtl w:val="0"/>
        </w:rPr>
        <w:t xml:space="preserve">«Индекса клиентского настроения»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 следующие источники: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0" w:firstLine="0"/>
        <w:rPr>
          <w:rFonts w:ascii="Times" w:cs="Times" w:eastAsia="Times" w:hAnsi="Times"/>
          <w:b w:val="1"/>
          <w:bCs w:val="1"/>
          <w:color w:val="000000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u w:val="single"/>
          <w:rtl w:val="0"/>
        </w:rPr>
        <w:t xml:space="preserve">MVP: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152.99999999999997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Претензии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 (иcточник: ClaimCRM)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152.99999999999997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VoC оценка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 + </w:t>
      </w: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Экспертиза УИУКО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 + </w:t>
      </w: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личный комментарий клиента                         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 (Источник: VoC-платформа)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0" w:firstLine="0"/>
        <w:rPr>
          <w:rFonts w:ascii="Times" w:cs="Times" w:eastAsia="Times" w:hAnsi="Times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0" w:firstLine="0"/>
        <w:rPr>
          <w:rFonts w:ascii="Times" w:cs="Times" w:eastAsia="Times" w:hAnsi="Times"/>
          <w:b w:val="1"/>
          <w:bCs w:val="1"/>
          <w:color w:val="000000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u w:val="single"/>
          <w:rtl w:val="0"/>
        </w:rPr>
        <w:t xml:space="preserve">NextStep: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152.99999999999997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чат с оператором (Источник: КЦ чат)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152.99999999999997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звонок в КЦ (транскрибация) (Источник: КЦ голос)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152.99999999999997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чат с КМ в Альфа Босс 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152.99999999999997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ежегодный NPS ЛПР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152.99999999999997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запросы в Спотлайт в АБМ (АльфаБизнес Мобайл)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" w:cs="Times" w:eastAsia="Times" w:hAnsi="Time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3.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1.2. Сервис должен обеспечивать работу в формате «Единого окна в SFA» - КМ должен видеть </w:t>
      </w:r>
      <w:r w:rsidDel="00000000" w:rsidR="00000000" w:rsidRPr="00000000">
        <w:rPr>
          <w:rFonts w:ascii="Times" w:cs="Times" w:eastAsia="Times" w:hAnsi="Times"/>
          <w:i w:val="1"/>
          <w:iCs w:val="1"/>
          <w:color w:val="000000"/>
          <w:rtl w:val="0"/>
        </w:rPr>
        <w:t xml:space="preserve">«Индекс настроения клиента»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 без переходов в другие системы, но для более подробной информации может перейти на вкладку внутри SFA с подробностями. 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1" w:lineRule="auto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8"/>
          <w:szCs w:val="28"/>
          <w:rtl w:val="0"/>
        </w:rPr>
        <w:t xml:space="preserve">2. Визуализация состояния клиента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Times" w:cs="Times" w:eastAsia="Times" w:hAnsi="Times"/>
          <w:b w:val="1"/>
          <w:bCs w:val="1"/>
          <w:color w:val="000000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3.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2.1. Отображать крупный круговой индикатор (по типу «светофор») с</w:t>
      </w:r>
      <w:r w:rsidDel="00000000" w:rsidR="00000000" w:rsidRPr="00000000">
        <w:rPr>
          <w:rFonts w:ascii="Times" w:cs="Times" w:eastAsia="Times" w:hAnsi="Times"/>
          <w:color w:val="ed7d31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числовым значением индекса клиента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3.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2.2. 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Реализовать итоговую цветовую индикацию:</w:t>
      </w:r>
      <w:r w:rsidDel="00000000" w:rsidR="00000000" w:rsidRPr="00000000">
        <w:rPr>
          <w:rtl w:val="0"/>
        </w:rPr>
      </w:r>
    </w:p>
    <w:tbl>
      <w:tblPr>
        <w:tblStyle w:val="Table4"/>
        <w:tblW w:w="9344.0" w:type="dxa"/>
        <w:jc w:val="left"/>
        <w:tblInd w:w="324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655"/>
        <w:gridCol w:w="1759"/>
        <w:gridCol w:w="4930"/>
        <w:tblGridChange w:id="0">
          <w:tblGrid>
            <w:gridCol w:w="2655"/>
            <w:gridCol w:w="1759"/>
            <w:gridCol w:w="4930"/>
          </w:tblGrid>
        </w:tblGridChange>
      </w:tblGrid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cec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Настроение клиента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cec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Оценки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cec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Комментарии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000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Клиент критик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1-3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 зависимости от среднего балла определяем к какой группе относится клиент 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Клиент нейтральный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3,01 – 4,99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Клиент лояльный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eaaa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Не оцениваем клиента (серая зона)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Кол-во оценок VоC &lt;2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Если кол-во VoC оценок менее 2-х или отсутствуют по всем каналам/продуктам/сервисам, такого клиента не учитываем в методологии, но если у него есть претензия на сегодня(</w:t>
            </w:r>
            <w:r w:rsidDel="00000000" w:rsidR="00000000" w:rsidRPr="00000000">
              <w:rPr>
                <w:rtl w:val="0"/>
              </w:rPr>
              <w:t xml:space="preserve">Т1)</w:t>
            </w:r>
            <w:r w:rsidDel="00000000" w:rsidR="00000000" w:rsidRPr="00000000">
              <w:rPr>
                <w:color w:val="000000"/>
                <w:rtl w:val="0"/>
              </w:rPr>
              <w:t xml:space="preserve">, то начисляем баллы согласно п. 1.2 и выносим его в критики (красный индикатор). Если претензия закрыта, то 0 (серый индикатор).  </w:t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3.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2.3. 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Индикатор должен позволять КМ быстро оценить состояние клиента без чтения текстовой информации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3.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2.4. Для КМ должна быть доступна не только оценка тональности, но и интерпретация цветовой индикации клиента (короткая справка, 1-2 предложения, почему индекс </w:t>
      </w:r>
      <w:r w:rsidDel="00000000" w:rsidR="00000000" w:rsidRPr="00000000">
        <w:rPr>
          <w:rFonts w:ascii="Times" w:cs="Times" w:eastAsia="Times" w:hAnsi="Times"/>
          <w:rtl w:val="0"/>
        </w:rPr>
        <w:t xml:space="preserve">рассчитан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 таким образом)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" w:cs="Times" w:eastAsia="Times" w:hAnsi="Times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1" w:lineRule="auto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8"/>
          <w:szCs w:val="28"/>
          <w:rtl w:val="0"/>
        </w:rPr>
        <w:t xml:space="preserve">3. AI-рекомендации для КМ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3.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3.1. </w:t>
      </w:r>
      <w:sdt>
        <w:sdtPr>
          <w:id w:val="2124043735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Формировать текстовую AI-рекомендацию для клиентского менеджера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По итогам пилота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Times" w:cs="Times" w:eastAsia="Times" w:hAnsi="Times"/>
          <w:color w:val="000000"/>
        </w:rPr>
      </w:pPr>
      <w:sdt>
        <w:sdtPr>
          <w:id w:val="-165505416"/>
          <w:tag w:val="goog_rdk_1"/>
        </w:sdtPr>
        <w:sdtContent>
          <w:commentRangeStart w:id="1"/>
        </w:sdtContent>
      </w:sdt>
      <w:sdt>
        <w:sdtPr>
          <w:id w:val="-1862234278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Times" w:cs="Times" w:eastAsia="Times" w:hAnsi="Times"/>
          <w:rtl w:val="0"/>
        </w:rPr>
        <w:t xml:space="preserve">3.</w:t>
      </w:r>
      <w:sdt>
        <w:sdtPr>
          <w:id w:val="-782937043"/>
          <w:tag w:val="goog_rdk_3"/>
        </w:sdtPr>
        <w:sdtContent>
          <w:commentRangeStart w:id="3"/>
        </w:sdtContent>
      </w:sdt>
      <w:sdt>
        <w:sdtPr>
          <w:id w:val="1434959084"/>
          <w:tag w:val="goog_rdk_4"/>
        </w:sdtPr>
        <w:sdtContent>
          <w:commentRangeStart w:id="4"/>
        </w:sdtContent>
      </w:sdt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3.2 AI-рекомендация должна: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500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содержать готовую формулировку для разговора с рекомендациями и предложениями. 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500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информацию о длительности работы Клиента с Банком в годах, месяцах и днях.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" w:cs="Times" w:eastAsia="Times" w:hAnsi="Time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3.</w:t>
      </w:r>
      <w:sdt>
        <w:sdtPr>
          <w:id w:val="-168481669"/>
          <w:tag w:val="goog_rdk_5"/>
        </w:sdtPr>
        <w:sdtContent>
          <w:commentRangeStart w:id="5"/>
        </w:sdtContent>
      </w:sdt>
      <w:sdt>
        <w:sdtPr>
          <w:id w:val="-1428516171"/>
          <w:tag w:val="goog_rdk_6"/>
        </w:sdtPr>
        <w:sdtContent>
          <w:commentRangeStart w:id="6"/>
        </w:sdtContent>
      </w:sdt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3.3. AI-рекомендации должны учитывать: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500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сколько клиент в банке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500"/>
        <w:rPr>
          <w:rFonts w:ascii="Times" w:cs="Times" w:eastAsia="Times" w:hAnsi="Times"/>
          <w:color w:val="000000"/>
        </w:rPr>
      </w:pPr>
      <w:sdt>
        <w:sdtPr>
          <w:id w:val="1100170324"/>
          <w:tag w:val="goog_rdk_7"/>
        </w:sdtPr>
        <w:sdtContent>
          <w:commentRangeStart w:id="7"/>
        </w:sdtContent>
      </w:sdt>
      <w:sdt>
        <w:sdtPr>
          <w:id w:val="-684950103"/>
          <w:tag w:val="goog_rdk_8"/>
        </w:sdtPr>
        <w:sdtContent>
          <w:commentRangeStart w:id="8"/>
        </w:sdtContent>
      </w:sdt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последние жалобы;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500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проблемные зоны;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500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контекст взаимодействия. </w:t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" w:cs="Times" w:eastAsia="Times" w:hAnsi="Times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1" w:lineRule="auto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8"/>
          <w:szCs w:val="28"/>
          <w:rtl w:val="0"/>
        </w:rPr>
        <w:t xml:space="preserve">4. Методология расчета индекса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1" w:lineRule="auto"/>
        <w:rPr>
          <w:rFonts w:ascii="Times" w:cs="Times" w:eastAsia="Times" w:hAnsi="Times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8"/>
          <w:szCs w:val="28"/>
          <w:u w:val="single"/>
          <w:rtl w:val="0"/>
        </w:rPr>
        <w:t xml:space="preserve">Блок 1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4.1. Формула: 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«Пульс клиента»</w:t>
      </w:r>
      <w:r w:rsidDel="00000000" w:rsidR="00000000" w:rsidRPr="00000000">
        <w:rPr>
          <w:color w:val="000000"/>
          <w:rtl w:val="0"/>
        </w:rPr>
        <w:t xml:space="preserve"> (Индекс лояльности клиента) </w:t>
      </w:r>
      <w:r w:rsidDel="00000000" w:rsidR="00000000" w:rsidRPr="00000000">
        <w:rPr>
          <w:color w:val="000000"/>
          <w:highlight w:val="white"/>
          <w:rtl w:val="0"/>
        </w:rPr>
        <w:t xml:space="preserve">= 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i w:val="1"/>
          <w:iCs w:val="1"/>
          <w:color w:val="000000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5 – «балл претензии» - «балл _ VoC продукт» - «балл _VoC канал» - «балл _VoC сервис»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Times" w:cs="Times" w:eastAsia="Times" w:hAnsi="Time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4.2. VoC оценка: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Источник: VoC-платформа</w:t>
      </w:r>
    </w:p>
    <w:tbl>
      <w:tblPr>
        <w:tblStyle w:val="Table5"/>
        <w:tblW w:w="9204.0" w:type="dxa"/>
        <w:jc w:val="left"/>
        <w:tblInd w:w="324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968"/>
        <w:gridCol w:w="1675"/>
        <w:gridCol w:w="3071"/>
        <w:gridCol w:w="1535"/>
        <w:gridCol w:w="1955"/>
        <w:tblGridChange w:id="0">
          <w:tblGrid>
            <w:gridCol w:w="968"/>
            <w:gridCol w:w="1675"/>
            <w:gridCol w:w="3071"/>
            <w:gridCol w:w="1535"/>
            <w:gridCol w:w="1955"/>
          </w:tblGrid>
        </w:tblGridChange>
      </w:tblGrid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Блоки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Частота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Параметры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Вес (баллы)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Пояснение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VOC</w:t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Ср.VoC оценка по продуктам за 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 месяца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Негативная VoC оценка по продукту (от 1 до 3,50)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br w:type="textWrapping"/>
              <w:t xml:space="preserve">Если данных нет – 0 баллов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Негативная VoC оценка по продукту (от 3,51 до 4,98)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Позитивная оценка по продукту (от 4,99 до 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Ср.VoC оценка по каналам за </w:t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 месяца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Негативная VoC оценка по каналам (от 1 до 3,50)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Если данных нет – 0 баллов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Негативная VoC оценка по каналам (от 3,51 до 4,98)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Позитивная оценка по каналам (от 4,99 до 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Ср.VoC оценка по сервисам за </w:t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 месяца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Негативная VoC оценка по сервисам (от 1 до 3,50)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Негативная VoC оценка по сервисам (от 3,51 до 4,98)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Если данных нет – 0 баллов</w:t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Позитивная оценка по сервисам (от 4,99 до 5)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ind w:left="216" w:hanging="216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i w:val="1"/>
          <w:i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Драфт промта: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Проверь количество оценок по всем каналам/продуктам/сервисам за последние 3 месяца. Учитывай отдельно положительные (5), и отдельно негативные оценки VoC (от 1 до 4) с</w:t>
      </w:r>
      <w:r w:rsidDel="00000000" w:rsidR="00000000" w:rsidRPr="00000000">
        <w:rPr>
          <w:i w:val="1"/>
          <w:iCs w:val="1"/>
          <w:rtl w:val="0"/>
        </w:rPr>
        <w:t xml:space="preserve">у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ммаризируй их на два блока – по негативу указывая основную проблематику, канал/продукт/сервис/претензия и по позитиву сильные стороны банка.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Выбирай из VоC повторяющиеся комментарии и выводи информацию, если повторение больше 2х раз.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0"/>
          <w:tab w:val="left" w:leader="none" w:pos="720"/>
        </w:tabs>
        <w:ind w:left="720" w:hanging="720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4.3. Претензии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Иcточник: ClaimCRM 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Используем поля в ClaimCRM: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Статус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Создан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Дата решения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Информация для клиента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Описание обращения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История обращений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80" w:hanging="42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Сумма возмещения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6"/>
        <w:tblW w:w="9204.0" w:type="dxa"/>
        <w:jc w:val="left"/>
        <w:tblInd w:w="324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408"/>
        <w:gridCol w:w="1984"/>
        <w:gridCol w:w="2694"/>
        <w:gridCol w:w="1559"/>
        <w:gridCol w:w="1559"/>
        <w:tblGridChange w:id="0">
          <w:tblGrid>
            <w:gridCol w:w="1408"/>
            <w:gridCol w:w="1984"/>
            <w:gridCol w:w="2694"/>
            <w:gridCol w:w="1559"/>
            <w:gridCol w:w="1559"/>
          </w:tblGrid>
        </w:tblGridChange>
      </w:tblGrid>
      <w:tr>
        <w:trPr>
          <w:cantSplit w:val="0"/>
          <w:trHeight w:val="44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cec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Блоки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cec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Частота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cec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Параметры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cec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Вес (баллы)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cec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Пояснение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Претензии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T1 или T+1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Претензии Открытые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Если есть открытая претензия, то балл за закрытую не ставим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&gt; T1, &lt;Т+90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Претензии Закрытые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1,4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&gt; T1, &lt;Т+90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Нет претензий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Если данных нет – 0 баллов. За 0 считаем, что клиент лоялен (положительный)</w:t>
            </w:r>
          </w:p>
        </w:tc>
      </w:tr>
    </w:tbl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/>
      </w:pPr>
      <w:r w:rsidDel="00000000" w:rsidR="00000000" w:rsidRPr="00000000">
        <w:rPr>
          <w:rtl w:val="0"/>
        </w:rPr>
        <w:t xml:space="preserve">Т1- сегодня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/>
      </w:pPr>
      <w:r w:rsidDel="00000000" w:rsidR="00000000" w:rsidRPr="00000000">
        <w:rPr>
          <w:rtl w:val="0"/>
        </w:rPr>
        <w:t xml:space="preserve">Т+1 завтра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/>
      </w:pPr>
      <w:r w:rsidDel="00000000" w:rsidR="00000000" w:rsidRPr="00000000">
        <w:rPr>
          <w:rtl w:val="0"/>
        </w:rPr>
        <w:t xml:space="preserve">Т+90 3  месяца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Драфт промта: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1. Проверь наличие претензий в Claim CRM за сегодня и за последние три месяца и присвой балл.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- Претензий нет -&gt; присвой вес 0 баллов</w:t>
        <w:br w:type="textWrapping"/>
        <w:t xml:space="preserve">- Претензии есть -&gt; дата создания претензии T1 или T+1 -&gt; Проверь статус претензии.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8" w:firstLine="0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Претензия открыта -&gt; присвой вес 3 балла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8" w:firstLine="0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Претензия закрыта -&gt; присвой вес 1,4 балла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- Претензии есть - дата создания претензии&gt; T 1 &lt;Т+90 -&gt; Проверь статус претензии.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8" w:firstLine="0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Претензия открыта -&gt; присвой вес 3 балла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8" w:firstLine="0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Претензия закрыта -&gt; присвой вес 1,4 балла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- Если есть открытая и закрытая претензия за период Т+90 -&gt; присвой вес 3 балла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08" w:firstLine="0"/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2. При наличии претензии проанализируй поля в Claim CRM и саммаризируй их</w:t>
        <w:br w:type="textWrapping"/>
        <w:t xml:space="preserve">Используй поле «Обоснование причины обращения», «Информация для клиента», Тема, Сумма возмещения, Описание операции, Обоснование, Суть обращения.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Из поля «Суть обращения» и «Информация для клиента», сделай короткое описание причины обращения, суть решения и вынеси сумму, которую решено вернуть (при положительном рассмотрении – статус Решено-Завершено)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3. В Блок SFA «Пульс клиента» агрегируй полученную информацию в следующем виде: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- Обязательный текст - «Убедись, что претензия закрыта»</w:t>
        <w:br w:type="textWrapping"/>
        <w:t xml:space="preserve">- Тема</w:t>
        <w:br w:type="textWrapping"/>
        <w:t xml:space="preserve">- Сумма возмещения</w:t>
        <w:br w:type="textWrapping"/>
        <w:t xml:space="preserve">- Статус обращения</w:t>
        <w:br w:type="textWrapping"/>
        <w:t xml:space="preserve">- Причина обращения (основное по саммаризации) </w:t>
        <w:br w:type="textWrapping"/>
        <w:t xml:space="preserve">- Решение (основное по саммаризации)</w:t>
        <w:br w:type="textWrapping"/>
        <w:t xml:space="preserve">- Дата закрытия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1" w:lineRule="auto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1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Блок 2 и Блок 3 не входит в скоуп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Блок 2: Продуктовые рекомендации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i w:val="1"/>
          <w:i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Драфт промта: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53ceghxts76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Проверь значение даты в поле «Счет открыт дд.мм.гггг» в разделе Портфель  и подразделе Счета в Подвале карточки Клиента в SFA.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Выведи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в рекомендации срок работы Клиента с Банком в годах, месяцах и днях, рассчитав срок как разницу между текущей датой и самой ранней датой открытия счета/счетов. Формат - Клиент работает с Альфа-банком 3 года 1 день</w:t>
      </w:r>
    </w:p>
    <w:p w:rsidR="00000000" w:rsidDel="00000000" w:rsidP="00000000" w:rsidRDefault="00000000" w:rsidRPr="00000000" w14:paraId="00000109">
      <w:pPr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i w:val="1"/>
          <w:iCs w:val="1"/>
          <w:color w:val="000000"/>
        </w:rPr>
      </w:pPr>
      <w:bookmarkStart w:colFirst="0" w:colLast="0" w:name="_heading=h.956rd7tucqgw" w:id="5"/>
      <w:bookmarkEnd w:id="5"/>
      <w:r w:rsidDel="00000000" w:rsidR="00000000" w:rsidRPr="00000000">
        <w:rPr>
          <w:i w:val="1"/>
          <w:iCs w:val="1"/>
          <w:color w:val="000000"/>
          <w:rtl w:val="0"/>
        </w:rPr>
        <w:t xml:space="preserve">Проанализируй данные из ресурса 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sandbox ss_bidd_sb.OW_SB_SFACALC_LSTAT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 по ИНН. Проверь значение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%_FACT_INCOME_%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 в поле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«ATTRIBUTE_CCODE». Если значение %_FACT_INCOME_% равно нулю, то продукт маркируется желтым флагом. Выведи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в рекомендации продукты, промаркированные желтым флагом. </w:t>
        <w:br w:type="textWrapping"/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В Блок SFA «Пульс клиента» агрегируй полученную информацию в следующем виде: </w:t>
        <w:br w:type="textWrapping"/>
        <w:t xml:space="preserve">С целью повышения лояльности Клиента предложи продукты из списка (согласно рекомендациям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АППП (кошелек клиента)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…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…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hanging="360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… 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720" w:firstLine="0"/>
        <w:rPr>
          <w:rFonts w:ascii="Calibri" w:cs="Calibri" w:eastAsia="Calibri" w:hAnsi="Calibri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При необходимости оформи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льготу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 (КМ сам решает делать льготу или нет).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Где хранятся данные по флагам:</w:t>
      </w:r>
      <w:r w:rsidDel="00000000" w:rsidR="00000000" w:rsidRPr="00000000">
        <w:rPr>
          <w:color w:val="000000"/>
          <w:rtl w:val="0"/>
        </w:rPr>
        <w:t xml:space="preserve"> sandbox ss_bidd_sb.OW_SB_SFACALC_LSTAT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Как часто обновляются данные:</w:t>
      </w:r>
      <w:r w:rsidDel="00000000" w:rsidR="00000000" w:rsidRPr="00000000">
        <w:rPr>
          <w:color w:val="000000"/>
          <w:rtl w:val="0"/>
        </w:rPr>
        <w:t xml:space="preserve"> ежедневно 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ind w:left="662" w:firstLine="57.00000000000003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Желтый флаг в АППП: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Если в поле «ATTRIBUTE_CCODE» есть значение %_FACT_INCOME_% отличное от нуля, то это значит, что продукт в Банке есть, отмечается зеленым. Соответственно, если продукта нет – желтым.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2.0" w:type="dxa"/>
        <w:jc w:val="left"/>
        <w:tblInd w:w="324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266"/>
        <w:gridCol w:w="1418"/>
        <w:gridCol w:w="5533"/>
        <w:gridCol w:w="1275"/>
        <w:tblGridChange w:id="0">
          <w:tblGrid>
            <w:gridCol w:w="1266"/>
            <w:gridCol w:w="1418"/>
            <w:gridCol w:w="5533"/>
            <w:gridCol w:w="1275"/>
          </w:tblGrid>
        </w:tblGridChange>
      </w:tblGrid>
      <w:tr>
        <w:trPr>
          <w:cantSplit w:val="0"/>
          <w:trHeight w:val="4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Блоки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Частота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Параметры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Пояснение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Fonts w:ascii="Styrene A LC Regular" w:cs="Styrene A LC Regular" w:eastAsia="Styrene A LC Regular" w:hAnsi="Styrene A LC Regular"/>
                <w:color w:val="000000"/>
                <w:rtl w:val="0"/>
              </w:rPr>
              <w:t xml:space="preserve">Продукт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Fonts w:ascii="Styrene A LC Regular" w:cs="Styrene A LC Regular" w:eastAsia="Styrene A LC Regular" w:hAnsi="Styrene A LC Regular"/>
                <w:color w:val="000000"/>
                <w:rtl w:val="0"/>
              </w:rPr>
              <w:t xml:space="preserve">Т1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Наличие продуктов:</w:t>
            </w:r>
          </w:p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кредит</w:t>
            </w:r>
          </w:p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кредит по залог по упроченному порядку</w:t>
            </w:r>
          </w:p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Финансирование застройщиков в рамках 214-ФЗ</w:t>
            </w:r>
          </w:p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Овердрафт</w:t>
            </w:r>
          </w:p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Экспресс -овердрафт</w:t>
            </w:r>
          </w:p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Аккредитивы</w:t>
            </w:r>
          </w:p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Гарантии РАР</w:t>
            </w:r>
          </w:p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Гарантии акцизные</w:t>
            </w:r>
          </w:p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Таможенные гарантии</w:t>
            </w:r>
          </w:p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Гарантии исполнения контракта и возврата аванса</w:t>
            </w:r>
          </w:p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Гарантии возврата НДС</w:t>
            </w:r>
          </w:p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Арендные гарантии</w:t>
            </w:r>
          </w:p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 Арендные гарантии</w:t>
            </w:r>
          </w:p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Электронные банковские гарантии (44/223-ФЗ)</w:t>
            </w:r>
          </w:p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Льготная программа МСХ</w:t>
            </w:r>
          </w:p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 Льготная программа МСП</w:t>
            </w:r>
          </w:p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Розничный лизинг (лиды Банка)</w:t>
            </w:r>
          </w:p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Розничный лизинг (ЛК)</w:t>
            </w:r>
          </w:p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Корпоративный лизинг</w:t>
            </w:r>
          </w:p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Факторинг</w:t>
            </w:r>
          </w:p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Кредит в рамках ОН-ЛАЙН кредитования</w:t>
            </w:r>
          </w:p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Овердрафт в рамках ОН-ЛАЙН кредитования</w:t>
            </w:r>
          </w:p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Гарантии в рамках ОН-ЛАЙН кредитования</w:t>
            </w:r>
          </w:p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 РКО</w:t>
            </w:r>
          </w:p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Внешние переводы на счета ЮЛ</w:t>
            </w:r>
          </w:p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Внутренние переводы на счета ЮЛ</w:t>
            </w:r>
          </w:p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Внутренние переводы на счета ФЛ</w:t>
            </w:r>
          </w:p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Внешние переводы на счета ФЛ</w:t>
            </w:r>
          </w:p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Обслуживание пластиковых карт</w:t>
            </w:r>
          </w:p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Выдача ДС через кассу</w:t>
            </w:r>
          </w:p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Внесение ДС через кассу</w:t>
            </w:r>
          </w:p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Внешние переводы на счета ФЛ</w:t>
            </w:r>
          </w:p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Внутренние переводы на счета ФЛ</w:t>
            </w:r>
          </w:p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Выдача ДС по пластиковым картам</w:t>
            </w:r>
          </w:p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Внесение ДС по пластиковым картам</w:t>
            </w:r>
          </w:p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Самоинкассация </w:t>
            </w:r>
          </w:p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ОКВКУ</w:t>
            </w:r>
          </w:p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Инкассация </w:t>
            </w:r>
          </w:p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Персональный куратор бизнеса</w:t>
            </w:r>
          </w:p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 Валютные переводы</w:t>
            </w:r>
          </w:p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Валютный контроль</w:t>
            </w:r>
          </w:p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Конвертация</w:t>
            </w:r>
          </w:p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Интернет-эквайринг</w:t>
            </w:r>
          </w:p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Торговый эквайринг</w:t>
            </w:r>
          </w:p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Зарплатный проект</w:t>
            </w:r>
          </w:p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 До востребования</w:t>
            </w:r>
          </w:p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 Срочное привлечение</w:t>
            </w:r>
          </w:p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Бивалютные депозиты</w:t>
            </w:r>
          </w:p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Конвертация в лимит</w:t>
            </w:r>
          </w:p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Хеджирование</w:t>
            </w:r>
          </w:p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Сделки с Альфа-капиталом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ind w:left="216" w:hanging="216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ind w:left="216" w:hanging="216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ind w:left="216" w:hanging="216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БЛОК 3: Рекомендации по повышению лояльности клиентов в соответствии с «индексом лояльности»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59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зависимость от того в каком блоке находится клиент необходимо КМ вывести следующие подсказки: 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59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59" w:lineRule="auto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highlight w:val="red"/>
          <w:rtl w:val="0"/>
        </w:rPr>
        <w:t xml:space="preserve">Клиент критик: 1-3 балла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18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Для повышения лояльности клиента рекомендовано предложить: 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80" w:lineRule="auto"/>
        <w:ind w:left="425" w:hanging="11.00000000000001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приоритетное участие в конференциях Альфа-Банка</w:t>
      </w:r>
      <w:r w:rsidDel="00000000" w:rsidR="00000000" w:rsidRPr="00000000">
        <w:rPr>
          <w:color w:val="000000"/>
          <w:rtl w:val="0"/>
        </w:rPr>
        <w:br w:type="textWrapping"/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80" w:lineRule="auto"/>
        <w:ind w:left="425" w:hanging="11.00000000000001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начисление доп.баллов по программе лояльности 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80" w:lineRule="auto"/>
        <w:ind w:left="425" w:hanging="11.000000000000014"/>
        <w:rPr>
          <w:color w:val="000000"/>
        </w:rPr>
      </w:pPr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color w:val="000000"/>
          <w:rtl w:val="0"/>
        </w:rPr>
        <w:t xml:space="preserve">редложи недостающие продукты из АППП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80" w:lineRule="auto"/>
        <w:ind w:left="425" w:hanging="11.000000000000014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индивидуальные условия на ПУ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8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highlight w:val="yellow"/>
          <w:rtl w:val="0"/>
        </w:rPr>
        <w:t xml:space="preserve">Клиент нейтральный: 3,01 – 4,99 балла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80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Клиент склонен к негативу рекомендовано предложить: 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80" w:lineRule="auto"/>
        <w:ind w:left="85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приоритетное участие в конференциях Альфа-Банка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80" w:lineRule="auto"/>
        <w:ind w:left="85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начисление доп.баллов по программе лояльности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80" w:lineRule="auto"/>
        <w:ind w:left="85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Предложи недостающие продукты из АППП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80" w:lineRule="auto"/>
        <w:ind w:left="85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индивидуальные условия на ПУ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8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highlight w:val="green"/>
          <w:rtl w:val="0"/>
        </w:rPr>
        <w:t xml:space="preserve">Клиент лояльный: 5 баллов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Клиент достаточно лояльный</w:t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18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Предложи недостающие продукты из АППП</w:t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80" w:lineRule="auto"/>
        <w:ind w:left="720" w:hanging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* То, что красным необходимо</w:t>
      </w:r>
      <w:r w:rsidDel="00000000" w:rsidR="00000000" w:rsidRPr="00000000">
        <w:rPr>
          <w:color w:val="000000"/>
          <w:rtl w:val="0"/>
        </w:rPr>
        <w:t xml:space="preserve"> согласование позиции с бизнесом.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8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18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8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8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highlight w:val="darkGray"/>
          <w:rtl w:val="0"/>
        </w:rPr>
        <w:t xml:space="preserve">Клиент в серой зоне  (недостаточно данных по клиенту)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80" w:lineRule="auto"/>
        <w:ind w:left="357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 настроению клиента нет данных. 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80" w:lineRule="auto"/>
        <w:ind w:left="357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Предложи продукты ….  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1" w:line="180" w:lineRule="auto"/>
        <w:ind w:left="360" w:firstLine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1" w:lineRule="auto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8"/>
          <w:szCs w:val="28"/>
          <w:rtl w:val="0"/>
        </w:rPr>
        <w:t xml:space="preserve">5. Работа сервиса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3.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5.1. Сервис должен рассчитывать и обновлять статус клиента 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при переходе клиентского менеджера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 в карточку клиента в SFA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3.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5.2. 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Работа сервиса должна выполняться без участия человека.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Times" w:cs="Times" w:eastAsia="Times" w:hAnsi="Times"/>
          <w:color w:val="ff0000"/>
        </w:rPr>
      </w:pPr>
      <w:r w:rsidDel="00000000" w:rsidR="00000000" w:rsidRPr="00000000">
        <w:rPr>
          <w:rFonts w:ascii="Times" w:cs="Times" w:eastAsia="Times" w:hAnsi="Times"/>
          <w:color w:val="ff0000"/>
          <w:rtl w:val="0"/>
        </w:rPr>
        <w:t xml:space="preserve">3.</w:t>
      </w:r>
      <w:r w:rsidDel="00000000" w:rsidR="00000000" w:rsidRPr="00000000">
        <w:rPr>
          <w:rFonts w:ascii="Times" w:cs="Times" w:eastAsia="Times" w:hAnsi="Times"/>
          <w:color w:val="ff0000"/>
          <w:rtl w:val="0"/>
        </w:rPr>
        <w:t xml:space="preserve">5.3. Допустимое время загрузки индикатора, его интерпретации и рекомендаций - N секунд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1" w:lineRule="auto"/>
        <w:rPr>
          <w:rFonts w:ascii="Georgia" w:cs="Georgia" w:eastAsia="Georgia" w:hAnsi="Georgia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1" w:lineRule="auto"/>
        <w:rPr>
          <w:rFonts w:ascii="Georgia" w:cs="Georgia" w:eastAsia="Georgia" w:hAnsi="Georgia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bookmarkStart w:colFirst="0" w:colLast="0" w:name="bookmark=id.nrpifixj0nsk" w:id="6"/>
    <w:bookmarkEnd w:id="6"/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1" w:lineRule="auto"/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42"/>
          <w:szCs w:val="42"/>
          <w:rtl w:val="0"/>
        </w:rPr>
        <w:t xml:space="preserve">4. Важные условия</w:t>
      </w:r>
      <w:r w:rsidDel="00000000" w:rsidR="00000000" w:rsidRPr="00000000">
        <w:rPr>
          <w:rtl w:val="0"/>
        </w:rPr>
      </w:r>
    </w:p>
    <w:tbl>
      <w:tblPr>
        <w:tblStyle w:val="Table8"/>
        <w:tblW w:w="6333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580"/>
        <w:gridCol w:w="5753"/>
        <w:tblGridChange w:id="0">
          <w:tblGrid>
            <w:gridCol w:w="580"/>
            <w:gridCol w:w="5753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rFonts w:ascii="Georgia" w:cs="Georgia" w:eastAsia="Georgia" w:hAnsi="Georgia"/>
                <w:color w:val="000000"/>
                <w:sz w:val="21"/>
                <w:szCs w:val="21"/>
              </w:rPr>
            </w:pPr>
            <w:sdt>
              <w:sdtPr>
                <w:id w:val="223444999"/>
                <w:tag w:val="goog_rdk_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color w:val="000000"/>
                    <w:sz w:val="21"/>
                    <w:szCs w:val="21"/>
                    <w:rtl w:val="0"/>
                  </w:rPr>
                  <w:t xml:space="preserve">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eorgia" w:cs="Georgia" w:eastAsia="Georgia" w:hAnsi="Georgi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Условие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eorgia" w:cs="Georgia" w:eastAsia="Georgia" w:hAnsi="Georgi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Сервис является внутренним ассистентом и встраивается непосредственно в карточку клиента в SFA (см Образ результата)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eorgia" w:cs="Georgia" w:eastAsia="Georgia" w:hAnsi="Georgi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Helvetica Neue" w:cs="Helvetica Neue" w:eastAsia="Helvetica Neue" w:hAnsi="Helvetica Neue"/>
                <w:color w:val="ff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Количество клиентских менеджеров - </w:t>
            </w: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1000</w:t>
            </w: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 (Москва + регионы) </w:t>
            </w:r>
            <w:r w:rsidDel="00000000" w:rsidR="00000000" w:rsidRPr="00000000">
              <w:rPr>
                <w:rFonts w:ascii="Times" w:cs="Times" w:eastAsia="Times" w:hAnsi="Times"/>
                <w:color w:val="ff0000"/>
                <w:rtl w:val="0"/>
              </w:rPr>
              <w:t xml:space="preserve">для пилота 30 КМ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eorgia" w:cs="Georgia" w:eastAsia="Georgia" w:hAnsi="Georgi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Скорость работы критична: КМ отмечают, что «каждая минута на счету»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10" w:lineRule="auto"/>
        <w:jc w:val="center"/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bookmarkStart w:colFirst="0" w:colLast="0" w:name="bookmark=id.ypstmcl05nup" w:id="7"/>
    <w:bookmarkEnd w:id="7"/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1" w:lineRule="auto"/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42"/>
          <w:szCs w:val="42"/>
          <w:rtl w:val="0"/>
        </w:rPr>
        <w:t xml:space="preserve">5. Нефункциональные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0"/>
        </w:tabs>
        <w:spacing w:after="120" w:lineRule="auto"/>
        <w:rPr>
          <w:rFonts w:ascii="Georgia" w:cs="Georgia" w:eastAsia="Georgia" w:hAnsi="Georgia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0"/>
        </w:tabs>
        <w:spacing w:after="120" w:lineRule="auto"/>
        <w:ind w:left="360" w:firstLine="0"/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Надежность: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0"/>
        </w:tabs>
        <w:spacing w:after="120" w:lineRule="auto"/>
        <w:ind w:left="360" w:firstLine="0"/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Система должна быть доступна в рабочее время КМ СКБ ( 24/7)</w:t>
      </w:r>
      <w:r w:rsidDel="00000000" w:rsidR="00000000" w:rsidRPr="00000000">
        <w:rPr>
          <w:rFonts w:ascii="Georgia" w:cs="Georgia" w:eastAsia="Georgia" w:hAnsi="Georgia"/>
          <w:color w:val="d3484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В случае невозможности сформировать индикатор настроения и рекомендации для КМ - </w:t>
      </w:r>
      <w:r w:rsidDel="00000000" w:rsidR="00000000" w:rsidRPr="00000000">
        <w:rPr>
          <w:rFonts w:ascii="Georgia" w:cs="Georgia" w:eastAsia="Georgia" w:hAnsi="Georgia"/>
          <w:color w:val="ff0000"/>
          <w:sz w:val="21"/>
          <w:szCs w:val="21"/>
          <w:rtl w:val="0"/>
        </w:rPr>
        <w:t xml:space="preserve">уточнить у заказчика.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0"/>
        </w:tabs>
        <w:spacing w:after="120" w:lineRule="auto"/>
        <w:ind w:left="360" w:firstLine="0"/>
        <w:rPr>
          <w:rFonts w:ascii="Georgia" w:cs="Georgia" w:eastAsia="Georgia" w:hAnsi="Georgia"/>
          <w:i w:val="1"/>
          <w:iCs w:val="1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0"/>
        </w:tabs>
        <w:spacing w:after="120" w:lineRule="auto"/>
        <w:ind w:left="360" w:firstLine="0"/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Безопасность: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0"/>
        </w:tabs>
        <w:spacing w:after="120" w:lineRule="auto"/>
        <w:ind w:left="360" w:firstLine="0"/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Доступ к системе предоставляется только авторизованным внутренним пользователям - КМ СКБ, их руководителям и бизнес-партнерам. Используется корпоративная система аутентификации. Ассистент не должен:</w:t>
      </w:r>
    </w:p>
    <w:p w:rsidR="00000000" w:rsidDel="00000000" w:rsidP="00000000" w:rsidRDefault="00000000" w:rsidRPr="00000000" w14:paraId="0000018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080" w:hanging="360"/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Формировать индикацию клиента и рекомендации для КМ вне выбранных источников данных о клиенте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0"/>
        </w:tabs>
        <w:spacing w:after="120" w:lineRule="auto"/>
        <w:ind w:left="360" w:firstLine="0"/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Масштабируемость: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количество КМ - 1000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0"/>
        </w:tabs>
        <w:spacing w:after="120" w:lineRule="auto"/>
        <w:ind w:left="720" w:firstLine="0"/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Архитектура MVP должна поддерживать:</w:t>
      </w:r>
    </w:p>
    <w:p w:rsidR="00000000" w:rsidDel="00000000" w:rsidP="00000000" w:rsidRDefault="00000000" w:rsidRPr="00000000" w14:paraId="0000018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080" w:hanging="360"/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увеличение числа запросов к сервису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080" w:hanging="360"/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расширение количества источников информации о клиенте (список источников для NextStep)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0"/>
        </w:tabs>
        <w:spacing w:after="120" w:lineRule="auto"/>
        <w:ind w:left="360" w:firstLine="0"/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Мониторинг и логирование: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000000"/>
          <w:sz w:val="21"/>
          <w:szCs w:val="21"/>
          <w:rtl w:val="0"/>
        </w:rPr>
        <w:t xml:space="preserve">  (ожидаем дизайн А/В-теста)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0"/>
        </w:tabs>
        <w:spacing w:after="120" w:lineRule="auto"/>
        <w:ind w:left="360" w:firstLine="0"/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Совместимость: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0"/>
        </w:tabs>
        <w:spacing w:after="120" w:lineRule="auto"/>
        <w:ind w:left="720" w:firstLine="0"/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Сервис должен работать с данными из BI, Claim CRM и VoC-платформы.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0"/>
        </w:tabs>
        <w:spacing w:after="120" w:lineRule="auto"/>
        <w:ind w:left="720" w:firstLine="0"/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Сервис должен отображать информацию в едином интерфейсе SFA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80"/>
        </w:tabs>
        <w:spacing w:after="120" w:before="240" w:line="271" w:lineRule="auto"/>
        <w:ind w:left="360" w:firstLine="0"/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Администрирование:</w:t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000000"/>
          <w:sz w:val="21"/>
          <w:szCs w:val="21"/>
          <w:rtl w:val="0"/>
        </w:rPr>
        <w:t xml:space="preserve">требований к администрированию на этапе MVP нет</w:t>
      </w:r>
      <w:bookmarkStart w:colFirst="0" w:colLast="0" w:name="bookmark=id.k0t8kpz2a6c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1" w:lineRule="auto"/>
        <w:ind w:left="720" w:firstLine="0"/>
        <w:rPr>
          <w:rFonts w:ascii="Georgia" w:cs="Georgia" w:eastAsia="Georgia" w:hAnsi="Georgia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1" w:lineRule="auto"/>
        <w:ind w:left="720" w:firstLine="0"/>
        <w:rPr>
          <w:rFonts w:ascii="Georgia" w:cs="Georgia" w:eastAsia="Georgia" w:hAnsi="Georgia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1" w:lineRule="auto"/>
        <w:ind w:left="720" w:firstLine="0"/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42"/>
          <w:szCs w:val="42"/>
          <w:rtl w:val="0"/>
        </w:rPr>
        <w:t xml:space="preserve">6. Критерии выполнения</w:t>
      </w:r>
      <w:r w:rsidDel="00000000" w:rsidR="00000000" w:rsidRPr="00000000">
        <w:rPr>
          <w:rtl w:val="0"/>
        </w:rPr>
      </w:r>
    </w:p>
    <w:tbl>
      <w:tblPr>
        <w:tblStyle w:val="Table9"/>
        <w:tblW w:w="8495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580"/>
        <w:gridCol w:w="7915"/>
        <w:tblGridChange w:id="0">
          <w:tblGrid>
            <w:gridCol w:w="580"/>
            <w:gridCol w:w="79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center"/>
              <w:rPr>
                <w:rFonts w:ascii="Georgia" w:cs="Georgia" w:eastAsia="Georgia" w:hAnsi="Georgia"/>
                <w:color w:val="000000"/>
                <w:sz w:val="21"/>
                <w:szCs w:val="21"/>
              </w:rPr>
            </w:pPr>
            <w:sdt>
              <w:sdtPr>
                <w:id w:val="-1300335979"/>
                <w:tag w:val="goog_rdk_1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color w:val="000000"/>
                    <w:sz w:val="21"/>
                    <w:szCs w:val="21"/>
                    <w:rtl w:val="0"/>
                  </w:rPr>
                  <w:t xml:space="preserve">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eorgia" w:cs="Georgia" w:eastAsia="Georgia" w:hAnsi="Georgi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Бизнес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1"/>
                <w:szCs w:val="21"/>
                <w:rtl w:val="0"/>
              </w:rPr>
              <w:t xml:space="preserve">Cнижение уровня чистого оттока клиента за АППГ на 2%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12121"/>
                <w:sz w:val="21"/>
                <w:szCs w:val="21"/>
                <w:rtl w:val="0"/>
              </w:rPr>
              <w:t xml:space="preserve">New product attach rate - Доля клиентов, у которых за период подключился хотя бы 1 новый продукт -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212121"/>
                <w:sz w:val="21"/>
                <w:szCs w:val="21"/>
                <w:rtl w:val="0"/>
              </w:rPr>
              <w:t xml:space="preserve">по результатам пилота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eorgia" w:cs="Georgia" w:eastAsia="Georgia" w:hAnsi="Georgi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1"/>
                <w:szCs w:val="21"/>
                <w:rtl w:val="0"/>
              </w:rPr>
              <w:t xml:space="preserve">Повышение NPS на Х% (согласуем методику)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eorgia" w:cs="Georgia" w:eastAsia="Georgia" w:hAnsi="Georgia"/>
                <w:color w:val="212121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12121"/>
                <w:sz w:val="21"/>
                <w:szCs w:val="21"/>
                <w:rtl w:val="0"/>
              </w:rPr>
              <w:t xml:space="preserve">Revenue per client (RPC)</w:t>
            </w:r>
          </w:p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212121"/>
                <w:sz w:val="21"/>
                <w:szCs w:val="21"/>
                <w:rtl w:val="0"/>
              </w:rPr>
              <w:t xml:space="preserve">Средняя выручка банка с клиента за период (из желтой зоны) -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212121"/>
                <w:sz w:val="21"/>
                <w:szCs w:val="21"/>
                <w:rtl w:val="0"/>
              </w:rPr>
              <w:t xml:space="preserve">по результатам пилота (за АППГ)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Продуктовые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Georgia" w:cs="Georgia" w:eastAsia="Georgia" w:hAnsi="Georgi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1"/>
                <w:szCs w:val="21"/>
                <w:rtl w:val="0"/>
              </w:rPr>
              <w:t xml:space="preserve">DAU/WAU - 50% от пилотной группы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Georgia" w:cs="Georgia" w:eastAsia="Georgia" w:hAnsi="Georgi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1"/>
                <w:szCs w:val="21"/>
                <w:rtl w:val="0"/>
              </w:rPr>
              <w:t xml:space="preserve">Retention КМ (30 дней) - 50%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Georgia" w:cs="Georgia" w:eastAsia="Georgia" w:hAnsi="Georgia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Helvetica Neue" w:cs="Helvetica Neue" w:eastAsia="Helvetica Neue" w:hAnsi="Helvetica Neue"/>
                <w:color w:val="000000"/>
              </w:rPr>
            </w:pPr>
            <w:sdt>
              <w:sdtPr>
                <w:id w:val="-811511859"/>
                <w:tag w:val="goog_rdk_11"/>
              </w:sdtPr>
              <w:sdtContent>
                <w:commentRangeStart w:id="9"/>
              </w:sdtContent>
            </w:sdt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Precision определения желтой и красной зоны светофора - 80%</w:t>
            </w: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Helvetica Neue" w:cs="Helvetica Neue" w:eastAsia="Helvetica Neue" w:hAnsi="Helvetica Neue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Доля полезных AI-рекомендаций по оценке КМ - 75% (human feedback)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000000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Georgia" w:cs="Georgia" w:eastAsia="Georgia" w:hAnsi="Georgia"/>
                <w:color w:val="000000"/>
                <w:sz w:val="21"/>
                <w:szCs w:val="21"/>
              </w:rPr>
            </w:pPr>
            <w:sdt>
              <w:sdtPr>
                <w:id w:val="962502525"/>
                <w:tag w:val="goog_rdk_12"/>
              </w:sdtPr>
              <w:sdtContent>
                <w:commentRangeStart w:id="10"/>
              </w:sdtContent>
            </w:sdt>
            <w:r w:rsidDel="00000000" w:rsidR="00000000" w:rsidRPr="00000000">
              <w:rPr>
                <w:rFonts w:ascii="Georgia" w:cs="Georgia" w:eastAsia="Georgia" w:hAnsi="Georgia"/>
                <w:color w:val="000000"/>
                <w:sz w:val="21"/>
                <w:szCs w:val="21"/>
                <w:rtl w:val="0"/>
              </w:rPr>
              <w:t xml:space="preserve">Accuracy определения светофора - 75%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000000"/>
                <w:sz w:val="21"/>
                <w:szCs w:val="21"/>
                <w:rtl w:val="0"/>
              </w:rPr>
              <w:t xml:space="preserve">(точно ли нам нужна эта метрика, уточнить у ИТ)</w:t>
            </w: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Georgia" w:cs="Georgia" w:eastAsia="Georgia" w:hAnsi="Georgia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1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bookmarkStart w:colFirst="0" w:colLast="0" w:name="bookmark=id.iqrifx2myvw3" w:id="9"/>
    <w:bookmarkEnd w:id="9"/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1" w:lineRule="auto"/>
        <w:rPr>
          <w:rFonts w:ascii="Georgia" w:cs="Georgia" w:eastAsia="Georgia" w:hAnsi="Georgia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7. Примеры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1" w:lineRule="auto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8"/>
          <w:szCs w:val="28"/>
          <w:rtl w:val="0"/>
        </w:rPr>
        <w:t xml:space="preserve">Сценарий 1: Быстрая оценка состояния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0" w:firstLine="0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Кто: клиентский менеджер среднего бизнеса 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0" w:firstLine="0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Цель: продать клиенту банковский продукт на основе рекомендаций, саммаризированой, ранее полученной обратной связи и персонализированными предложениями от банка.   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0" w:firstLine="0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Действие: КМ видит индикатор с настроением клиента (по принципу «светофор»)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20" w:firstLine="0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Результат: КМ помогает клиенту и продает банковские продукты основываясь на индикаторе, саммаризированной обратной связи, персональных предложениях  и рекомендаций по повышению лояльности клиента из данного сегмента. 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1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1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1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          ООО “Ромашка”   пин UCMLVQ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-371474</wp:posOffset>
                </wp:positionH>
                <wp:positionV relativeFrom="paragraph">
                  <wp:posOffset>25375</wp:posOffset>
                </wp:positionV>
                <wp:extent cx="702636" cy="339307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001032" y="3616697"/>
                          <a:ext cx="689936" cy="326607"/>
                        </a:xfrm>
                        <a:prstGeom prst="roundRect">
                          <a:avLst>
                            <a:gd fmla="val 50000" name="adj"/>
                          </a:avLst>
                        </a:prstGeom>
                        <a:solidFill>
                          <a:srgbClr val="000000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-371474</wp:posOffset>
                </wp:positionH>
                <wp:positionV relativeFrom="paragraph">
                  <wp:posOffset>25375</wp:posOffset>
                </wp:positionV>
                <wp:extent cx="702636" cy="339307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2636" cy="3393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-299084</wp:posOffset>
                </wp:positionH>
                <wp:positionV relativeFrom="paragraph">
                  <wp:posOffset>109513</wp:posOffset>
                </wp:positionV>
                <wp:extent cx="923673" cy="16296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888926" y="3703280"/>
                          <a:ext cx="914148" cy="1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7.999999523162842" w:line="180"/>
                              <w:ind w:left="13.999999761581421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tyrene A LC Black" w:cs="Styrene A LC Black" w:eastAsia="Styrene A LC Black" w:hAnsi="Styrene A LC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Блок 1</w:t>
                            </w:r>
                          </w:p>
                        </w:txbxContent>
                      </wps:txbx>
                      <wps:bodyPr anchorCtr="0" anchor="ctr" bIns="0" lIns="0" spcFirstLastPara="1" rIns="0" wrap="square" tIns="1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-299084</wp:posOffset>
                </wp:positionH>
                <wp:positionV relativeFrom="paragraph">
                  <wp:posOffset>109513</wp:posOffset>
                </wp:positionV>
                <wp:extent cx="923673" cy="162965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673" cy="1629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B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         Клиент в Альфа Банка  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3 года  1 день </w:t>
      </w:r>
    </w:p>
    <w:p w:rsidR="00000000" w:rsidDel="00000000" w:rsidP="00000000" w:rsidRDefault="00000000" w:rsidRPr="00000000" w14:paraId="000001B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358775</wp:posOffset>
                </wp:positionH>
                <wp:positionV relativeFrom="paragraph">
                  <wp:posOffset>36413</wp:posOffset>
                </wp:positionV>
                <wp:extent cx="460375" cy="443738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122163" y="3564481"/>
                          <a:ext cx="447675" cy="431038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358775</wp:posOffset>
                </wp:positionH>
                <wp:positionV relativeFrom="paragraph">
                  <wp:posOffset>36413</wp:posOffset>
                </wp:positionV>
                <wp:extent cx="460375" cy="443738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375" cy="4437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365125</wp:posOffset>
                </wp:positionH>
                <wp:positionV relativeFrom="paragraph">
                  <wp:posOffset>152400</wp:posOffset>
                </wp:positionV>
                <wp:extent cx="676275" cy="542925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011075" y="3511080"/>
                          <a:ext cx="669851" cy="53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04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tyrene A LC Bold" w:cs="Styrene A LC Bold" w:eastAsia="Styrene A LC Bold" w:hAnsi="Styrene A LC Bol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2,60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365125</wp:posOffset>
                </wp:positionH>
                <wp:positionV relativeFrom="paragraph">
                  <wp:posOffset>152400</wp:posOffset>
                </wp:positionV>
                <wp:extent cx="676275" cy="542925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" cy="542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747395</wp:posOffset>
                </wp:positionH>
                <wp:positionV relativeFrom="paragraph">
                  <wp:posOffset>161925</wp:posOffset>
                </wp:positionV>
                <wp:extent cx="3919855" cy="306705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3202875" y="2251238"/>
                          <a:ext cx="4286250" cy="3057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FFFFFF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  <a:effectLst>
                          <a:outerShdw blurRad="50800" rotWithShape="0" algn="l" dist="3810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747395</wp:posOffset>
                </wp:positionH>
                <wp:positionV relativeFrom="paragraph">
                  <wp:posOffset>161925</wp:posOffset>
                </wp:positionV>
                <wp:extent cx="3919855" cy="3067050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19855" cy="3067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733425</wp:posOffset>
                </wp:positionH>
                <wp:positionV relativeFrom="paragraph">
                  <wp:posOffset>16222</wp:posOffset>
                </wp:positionV>
                <wp:extent cx="1447800" cy="54736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626863" y="3511080"/>
                          <a:ext cx="1438275" cy="53784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04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tyrene A LC Bold" w:cs="Styrene A LC Bold" w:eastAsia="Styrene A LC Bold" w:hAnsi="Styrene A LC Bol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Клиент критик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733425</wp:posOffset>
                </wp:positionH>
                <wp:positionV relativeFrom="paragraph">
                  <wp:posOffset>16222</wp:posOffset>
                </wp:positionV>
                <wp:extent cx="1447800" cy="54736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7800" cy="5473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163364</wp:posOffset>
                </wp:positionV>
                <wp:extent cx="200660" cy="19177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52020" y="3690465"/>
                          <a:ext cx="187960" cy="17907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163364</wp:posOffset>
                </wp:positionV>
                <wp:extent cx="200660" cy="191770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660" cy="1917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840423</wp:posOffset>
                </wp:positionH>
                <wp:positionV relativeFrom="paragraph">
                  <wp:posOffset>107633</wp:posOffset>
                </wp:positionV>
                <wp:extent cx="3657600" cy="68580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3521963" y="3441863"/>
                          <a:ext cx="3648075" cy="67627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Клиент оценивает Колл центр высоко, но выражает сильное недовольство работой чата с оператором Эквайринга.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840423</wp:posOffset>
                </wp:positionH>
                <wp:positionV relativeFrom="paragraph">
                  <wp:posOffset>107633</wp:posOffset>
                </wp:positionV>
                <wp:extent cx="3657600" cy="685800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7600" cy="685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</wp:posOffset>
                </wp:positionH>
                <wp:positionV relativeFrom="paragraph">
                  <wp:posOffset>18182</wp:posOffset>
                </wp:positionV>
                <wp:extent cx="264795" cy="26479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45988" y="3679988"/>
                          <a:ext cx="200025" cy="200025"/>
                        </a:xfrm>
                        <a:prstGeom prst="ellipse">
                          <a:avLst/>
                        </a:prstGeom>
                        <a:solidFill>
                          <a:srgbClr val="639E80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  <a:effectLst>
                          <a:outerShdw blurRad="50800" rotWithShape="0" algn="tr" dir="8100000" dist="3810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</wp:posOffset>
                </wp:positionH>
                <wp:positionV relativeFrom="paragraph">
                  <wp:posOffset>18182</wp:posOffset>
                </wp:positionV>
                <wp:extent cx="264795" cy="264795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795" cy="264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1172218</wp:posOffset>
                </wp:positionH>
                <wp:positionV relativeFrom="paragraph">
                  <wp:posOffset>7288</wp:posOffset>
                </wp:positionV>
                <wp:extent cx="3209925" cy="615581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745800" y="3476972"/>
                          <a:ext cx="3200400" cy="606056"/>
                        </a:xfrm>
                        <a:prstGeom prst="rect">
                          <a:avLst/>
                        </a:prstGeom>
                        <a:solidFill>
                          <a:srgbClr val="F2DAD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Низкие оценки (1) взаимодействия в чате с оператором Эквайринга, вызывающие недовольство.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1172218</wp:posOffset>
                </wp:positionH>
                <wp:positionV relativeFrom="paragraph">
                  <wp:posOffset>7288</wp:posOffset>
                </wp:positionV>
                <wp:extent cx="3209925" cy="615581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9925" cy="6155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693738</wp:posOffset>
                </wp:positionH>
                <wp:positionV relativeFrom="paragraph">
                  <wp:posOffset>151610</wp:posOffset>
                </wp:positionV>
                <wp:extent cx="485775" cy="3143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07875" y="3627600"/>
                          <a:ext cx="476250" cy="304800"/>
                        </a:xfrm>
                        <a:prstGeom prst="rect">
                          <a:avLst/>
                        </a:prstGeom>
                        <a:solidFill>
                          <a:srgbClr val="F2DAD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« - »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693738</wp:posOffset>
                </wp:positionH>
                <wp:positionV relativeFrom="paragraph">
                  <wp:posOffset>151610</wp:posOffset>
                </wp:positionV>
                <wp:extent cx="485775" cy="31432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676593</wp:posOffset>
                </wp:positionH>
                <wp:positionV relativeFrom="paragraph">
                  <wp:posOffset>83976</wp:posOffset>
                </wp:positionV>
                <wp:extent cx="628650" cy="31432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036438" y="3627600"/>
                          <a:ext cx="619125" cy="304800"/>
                        </a:xfrm>
                        <a:prstGeom prst="rect">
                          <a:avLst/>
                        </a:prstGeom>
                        <a:solidFill>
                          <a:srgbClr val="EAF1D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« + »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676593</wp:posOffset>
                </wp:positionH>
                <wp:positionV relativeFrom="paragraph">
                  <wp:posOffset>83976</wp:posOffset>
                </wp:positionV>
                <wp:extent cx="628650" cy="314325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1150952</wp:posOffset>
                </wp:positionH>
                <wp:positionV relativeFrom="paragraph">
                  <wp:posOffset>4660</wp:posOffset>
                </wp:positionV>
                <wp:extent cx="3209925" cy="498622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745800" y="3535452"/>
                          <a:ext cx="3200400" cy="489097"/>
                        </a:xfrm>
                        <a:prstGeom prst="rect">
                          <a:avLst/>
                        </a:prstGeom>
                        <a:solidFill>
                          <a:srgbClr val="EAF1D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Отличная работа колл‑центра Эквайринга (оценка 5) при входящих звонках.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1150952</wp:posOffset>
                </wp:positionH>
                <wp:positionV relativeFrom="paragraph">
                  <wp:posOffset>4660</wp:posOffset>
                </wp:positionV>
                <wp:extent cx="3209925" cy="498622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9925" cy="4986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1185317</wp:posOffset>
                </wp:positionH>
                <wp:positionV relativeFrom="paragraph">
                  <wp:posOffset>177010</wp:posOffset>
                </wp:positionV>
                <wp:extent cx="3209925" cy="68580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3745800" y="3441863"/>
                          <a:ext cx="3200400" cy="67627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Претензия по начисленной комиссии была закрыта, решение – возврат комиссии одобрено.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1185317</wp:posOffset>
                </wp:positionH>
                <wp:positionV relativeFrom="paragraph">
                  <wp:posOffset>177010</wp:posOffset>
                </wp:positionV>
                <wp:extent cx="3209925" cy="685800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9925" cy="685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384818</wp:posOffset>
                </wp:positionH>
                <wp:positionV relativeFrom="paragraph">
                  <wp:posOffset>2163</wp:posOffset>
                </wp:positionV>
                <wp:extent cx="894464" cy="31432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903531" y="3627600"/>
                          <a:ext cx="884939" cy="3048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Претензии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384818</wp:posOffset>
                </wp:positionH>
                <wp:positionV relativeFrom="paragraph">
                  <wp:posOffset>2163</wp:posOffset>
                </wp:positionV>
                <wp:extent cx="894464" cy="314325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4464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304926</wp:posOffset>
                </wp:positionH>
                <wp:positionV relativeFrom="paragraph">
                  <wp:posOffset>10759</wp:posOffset>
                </wp:positionV>
                <wp:extent cx="1664612" cy="317302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518457" y="3626112"/>
                          <a:ext cx="1655087" cy="3077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tyrene A LC Black" w:cs="Styrene A LC Black" w:eastAsia="Styrene A LC Black" w:hAnsi="Styrene A LC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ИИ-ассистент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304926</wp:posOffset>
                </wp:positionH>
                <wp:positionV relativeFrom="paragraph">
                  <wp:posOffset>10759</wp:posOffset>
                </wp:positionV>
                <wp:extent cx="1664612" cy="317302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4612" cy="3173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D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330657</wp:posOffset>
                </wp:positionH>
                <wp:positionV relativeFrom="paragraph">
                  <wp:posOffset>55230</wp:posOffset>
                </wp:positionV>
                <wp:extent cx="4298950" cy="4318886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3202875" y="1626907"/>
                          <a:ext cx="4286250" cy="43061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FFFFFF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  <a:effectLst>
                          <a:outerShdw blurRad="50800" rotWithShape="0" algn="l" dist="3810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330657</wp:posOffset>
                </wp:positionH>
                <wp:positionV relativeFrom="paragraph">
                  <wp:posOffset>55230</wp:posOffset>
                </wp:positionV>
                <wp:extent cx="4298950" cy="4318886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8950" cy="431888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384493</wp:posOffset>
                </wp:positionH>
                <wp:positionV relativeFrom="paragraph">
                  <wp:posOffset>142085</wp:posOffset>
                </wp:positionV>
                <wp:extent cx="1433830" cy="293306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4633848" y="2318230"/>
                          <a:ext cx="1424305" cy="292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tyrene A LC Light" w:cs="Styrene A LC Light" w:eastAsia="Styrene A LC Light" w:hAnsi="Styrene A LC Ligh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РЕКОМЕНДОВАНО: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tyrene A LC Light" w:cs="Styrene A LC Light" w:eastAsia="Styrene A LC Light" w:hAnsi="Styrene A LC Ligh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384493</wp:posOffset>
                </wp:positionH>
                <wp:positionV relativeFrom="paragraph">
                  <wp:posOffset>142085</wp:posOffset>
                </wp:positionV>
                <wp:extent cx="1433830" cy="2933065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3830" cy="2933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-295274</wp:posOffset>
                </wp:positionH>
                <wp:positionV relativeFrom="paragraph">
                  <wp:posOffset>4043</wp:posOffset>
                </wp:positionV>
                <wp:extent cx="702636" cy="339307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001032" y="3616697"/>
                          <a:ext cx="689936" cy="326607"/>
                        </a:xfrm>
                        <a:prstGeom prst="roundRect">
                          <a:avLst>
                            <a:gd fmla="val 50000" name="adj"/>
                          </a:avLst>
                        </a:prstGeom>
                        <a:solidFill>
                          <a:srgbClr val="000000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-295274</wp:posOffset>
                </wp:positionH>
                <wp:positionV relativeFrom="paragraph">
                  <wp:posOffset>4043</wp:posOffset>
                </wp:positionV>
                <wp:extent cx="702636" cy="339307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2636" cy="3393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-221296</wp:posOffset>
                </wp:positionH>
                <wp:positionV relativeFrom="paragraph">
                  <wp:posOffset>95250</wp:posOffset>
                </wp:positionV>
                <wp:extent cx="923290" cy="16256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889118" y="3703483"/>
                          <a:ext cx="913765" cy="15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7.999999523162842" w:line="180"/>
                              <w:ind w:left="13.999999761581421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tyrene A LC Black" w:cs="Styrene A LC Black" w:eastAsia="Styrene A LC Black" w:hAnsi="Styrene A LC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Блок 2</w:t>
                            </w:r>
                          </w:p>
                        </w:txbxContent>
                      </wps:txbx>
                      <wps:bodyPr anchorCtr="0" anchor="ctr" bIns="0" lIns="0" spcFirstLastPara="1" rIns="0" wrap="square" tIns="1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-221296</wp:posOffset>
                </wp:positionH>
                <wp:positionV relativeFrom="paragraph">
                  <wp:posOffset>95250</wp:posOffset>
                </wp:positionV>
                <wp:extent cx="923290" cy="162560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290" cy="1625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D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406674</wp:posOffset>
                </wp:positionH>
                <wp:positionV relativeFrom="paragraph">
                  <wp:posOffset>10358</wp:posOffset>
                </wp:positionV>
                <wp:extent cx="4166855" cy="144492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3267335" y="3062303"/>
                          <a:ext cx="4157330" cy="1435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При взаимодействии с клиентом, подтверди факт возврата комиссии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по претензии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, и уточни, какие именно проблемы возникли в чате, предложить альтернативные каналы связи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и план по улучшению чатподдержки.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Предложи оформить следующие продукты: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Лизинг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ЗПП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Кредит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406674</wp:posOffset>
                </wp:positionH>
                <wp:positionV relativeFrom="paragraph">
                  <wp:posOffset>10358</wp:posOffset>
                </wp:positionV>
                <wp:extent cx="4166855" cy="1444920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6855" cy="1444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D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2470208</wp:posOffset>
                </wp:positionH>
                <wp:positionV relativeFrom="paragraph">
                  <wp:posOffset>-235523</wp:posOffset>
                </wp:positionV>
                <wp:extent cx="1899921" cy="65483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 rot="-898295">
                          <a:off x="4389070" y="3703483"/>
                          <a:ext cx="1913860" cy="15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7.999999523162842" w:line="180"/>
                              <w:ind w:left="13.999999761581421" w:right="0" w:firstLine="13.99999976158142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tyrene A LC Black" w:cs="Styrene A LC Black" w:eastAsia="Styrene A LC Black" w:hAnsi="Styrene A LC Blac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Берем из кошелька  (АППП)</w:t>
                            </w:r>
                          </w:p>
                        </w:txbxContent>
                      </wps:txbx>
                      <wps:bodyPr anchorCtr="0" anchor="ctr" bIns="0" lIns="0" spcFirstLastPara="1" rIns="0" wrap="square" tIns="1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2470208</wp:posOffset>
                </wp:positionH>
                <wp:positionV relativeFrom="paragraph">
                  <wp:posOffset>-235523</wp:posOffset>
                </wp:positionV>
                <wp:extent cx="1899921" cy="654830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9921" cy="654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D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-268412</wp:posOffset>
                </wp:positionH>
                <wp:positionV relativeFrom="paragraph">
                  <wp:posOffset>176087</wp:posOffset>
                </wp:positionV>
                <wp:extent cx="702636" cy="339307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001032" y="3616697"/>
                          <a:ext cx="689936" cy="326607"/>
                        </a:xfrm>
                        <a:prstGeom prst="roundRect">
                          <a:avLst>
                            <a:gd fmla="val 50000" name="adj"/>
                          </a:avLst>
                        </a:prstGeom>
                        <a:solidFill>
                          <a:srgbClr val="000000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-268412</wp:posOffset>
                </wp:positionH>
                <wp:positionV relativeFrom="paragraph">
                  <wp:posOffset>176087</wp:posOffset>
                </wp:positionV>
                <wp:extent cx="702636" cy="339307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2636" cy="3393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-194759</wp:posOffset>
                </wp:positionH>
                <wp:positionV relativeFrom="paragraph">
                  <wp:posOffset>229744</wp:posOffset>
                </wp:positionV>
                <wp:extent cx="923290" cy="20828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89118" y="3680623"/>
                          <a:ext cx="913765" cy="198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7.999999523162842" w:line="180"/>
                              <w:ind w:left="13.999999761581421" w:right="0" w:firstLine="13.99999976158142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tyrene A LC Black" w:cs="Styrene A LC Black" w:eastAsia="Styrene A LC Black" w:hAnsi="Styrene A LC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Блок 3</w:t>
                            </w:r>
                          </w:p>
                        </w:txbxContent>
                      </wps:txbx>
                      <wps:bodyPr anchorCtr="0" anchor="ctr" bIns="0" lIns="0" spcFirstLastPara="1" rIns="0" wrap="square" tIns="1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-194759</wp:posOffset>
                </wp:positionH>
                <wp:positionV relativeFrom="paragraph">
                  <wp:posOffset>229744</wp:posOffset>
                </wp:positionV>
                <wp:extent cx="923290" cy="20828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290" cy="208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661855</wp:posOffset>
                </wp:positionH>
                <wp:positionV relativeFrom="paragraph">
                  <wp:posOffset>88805</wp:posOffset>
                </wp:positionV>
                <wp:extent cx="3826613" cy="1157841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3437456" y="3205842"/>
                          <a:ext cx="3817088" cy="11483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414.00001525878906" w:right="0" w:firstLine="414.00001525878906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Клиент в негативе, для повышения лояльности предложи: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414.00001525878906" w:right="0" w:firstLine="414.00001525878906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- Приоритетное участие в конференции Альфа Банка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414.00001525878906" w:right="0" w:firstLine="414.00001525878906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- начисли баллы по лояльности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180"/>
                              <w:ind w:left="414.00001525878906" w:right="0" w:firstLine="414.00001525878906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- оформи льготу на ПУ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661855</wp:posOffset>
                </wp:positionH>
                <wp:positionV relativeFrom="paragraph">
                  <wp:posOffset>88805</wp:posOffset>
                </wp:positionV>
                <wp:extent cx="3826613" cy="1157841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26613" cy="11578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2324702</wp:posOffset>
                </wp:positionH>
                <wp:positionV relativeFrom="paragraph">
                  <wp:posOffset>-295491</wp:posOffset>
                </wp:positionV>
                <wp:extent cx="2390115" cy="914877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 rot="-1050871">
                          <a:off x="4120614" y="3703483"/>
                          <a:ext cx="2450772" cy="15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7.999999523162842" w:line="180"/>
                              <w:ind w:left="13.999999761581421" w:right="0" w:firstLine="13.99999976158142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tyrene A LC Black" w:cs="Styrene A LC Black" w:eastAsia="Styrene A LC Black" w:hAnsi="Styrene A LC Blac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Берем из утвержденных рекомендаций по сегментам </w:t>
                            </w:r>
                          </w:p>
                        </w:txbxContent>
                      </wps:txbx>
                      <wps:bodyPr anchorCtr="0" anchor="ctr" bIns="0" lIns="0" spcFirstLastPara="1" rIns="0" wrap="square" tIns="1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2324702</wp:posOffset>
                </wp:positionH>
                <wp:positionV relativeFrom="paragraph">
                  <wp:posOffset>-295491</wp:posOffset>
                </wp:positionV>
                <wp:extent cx="2390115" cy="914877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90115" cy="9148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before="240" w:line="271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</w:rPr>
        <w:drawing>
          <wp:inline distB="0" distT="0" distL="0" distR="0">
            <wp:extent cx="6480810" cy="4787900"/>
            <wp:effectExtent b="0" l="0" r="0" t="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1" w:lineRule="auto"/>
        <w:rPr>
          <w:rFonts w:ascii="Calibri" w:cs="Calibri" w:eastAsia="Calibri" w:hAnsi="Calibri"/>
          <w:color w:val="00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000000"/>
          <w:sz w:val="36"/>
          <w:szCs w:val="36"/>
          <w:rtl w:val="0"/>
        </w:rPr>
        <w:t xml:space="preserve">Далее, реализация вывода 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“индекса </w:t>
      </w:r>
      <w:r w:rsidDel="00000000" w:rsidR="00000000" w:rsidRPr="00000000">
        <w:rPr>
          <w:rFonts w:ascii="Calibri" w:cs="Calibri" w:eastAsia="Calibri" w:hAnsi="Calibri"/>
          <w:color w:val="000000"/>
          <w:sz w:val="36"/>
          <w:szCs w:val="36"/>
          <w:rtl w:val="0"/>
        </w:rPr>
        <w:t xml:space="preserve">настроения Группы компании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color w:val="000000"/>
          <w:sz w:val="36"/>
          <w:szCs w:val="36"/>
          <w:rtl w:val="0"/>
        </w:rPr>
        <w:t xml:space="preserve"> (как на примере)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1" w:lineRule="auto"/>
        <w:rPr>
          <w:rFonts w:ascii="Calibri" w:cs="Calibri" w:eastAsia="Calibri" w:hAnsi="Calibri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1" w:lineRule="auto"/>
        <w:rPr>
          <w:rFonts w:ascii="Calibri" w:cs="Calibri" w:eastAsia="Calibri" w:hAnsi="Calibri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1" w:lineRule="auto"/>
        <w:rPr>
          <w:rFonts w:ascii="Calibri" w:cs="Calibri" w:eastAsia="Calibri" w:hAnsi="Calibri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1" w:lineRule="auto"/>
        <w:rPr>
          <w:rFonts w:ascii="Calibri" w:cs="Calibri" w:eastAsia="Calibri" w:hAnsi="Calibri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1" w:lineRule="auto"/>
        <w:rPr>
          <w:rFonts w:ascii="Calibri" w:cs="Calibri" w:eastAsia="Calibri" w:hAnsi="Calibri"/>
          <w:color w:val="00000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color w:val="000000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1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8. Источники и ответственные</w:t>
      </w:r>
    </w:p>
    <w:tbl>
      <w:tblPr>
        <w:tblStyle w:val="Table10"/>
        <w:tblW w:w="101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5245"/>
        <w:gridCol w:w="2971"/>
        <w:tblGridChange w:id="0">
          <w:tblGrid>
            <w:gridCol w:w="1980"/>
            <w:gridCol w:w="5245"/>
            <w:gridCol w:w="29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spacing w:after="120" w:before="240" w:line="271" w:lineRule="auto"/>
              <w:rPr>
                <w:color w:val="000000"/>
                <w:sz w:val="18"/>
                <w:szCs w:val="18"/>
              </w:rPr>
            </w:pPr>
            <w:bookmarkStart w:colFirst="0" w:colLast="0" w:name="_heading=h.6h0g4pxjwh84" w:id="10"/>
            <w:bookmarkEnd w:id="10"/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Источник</w:t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120" w:before="240" w:line="271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ссылка</w:t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120" w:before="240" w:line="271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Отв. за источник</w:t>
            </w:r>
          </w:p>
        </w:tc>
      </w:tr>
      <w:tr>
        <w:trPr>
          <w:cantSplit w:val="0"/>
          <w:trHeight w:val="731" w:hRule="atLeast"/>
          <w:tblHeader w:val="0"/>
        </w:trPr>
        <w:tc>
          <w:tcPr/>
          <w:p w:rsidR="00000000" w:rsidDel="00000000" w:rsidP="00000000" w:rsidRDefault="00000000" w:rsidRPr="00000000" w14:paraId="000001F4">
            <w:pPr>
              <w:spacing w:after="120" w:before="240" w:line="271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SFA</w:t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120" w:before="240" w:line="271" w:lineRule="auto"/>
              <w:rPr>
                <w:color w:val="000000"/>
                <w:sz w:val="18"/>
                <w:szCs w:val="18"/>
              </w:rPr>
            </w:pPr>
            <w:hyperlink r:id="rId11">
              <w:r w:rsidDel="00000000" w:rsidR="00000000" w:rsidRPr="00000000">
                <w:rPr>
                  <w:color w:val="0000ff"/>
                  <w:sz w:val="18"/>
                  <w:szCs w:val="18"/>
                  <w:u w:val="single"/>
                  <w:rtl w:val="0"/>
                </w:rPr>
                <w:t xml:space="preserve">https://sfa/prweb/PRServletContainerAuth/app/SCRMFW_/qNUiGsQfnsPynQ85NtgqTQ*/!STANDARD</w:t>
              </w:r>
            </w:hyperlink>
            <w:r w:rsidDel="00000000" w:rsidR="00000000" w:rsidRPr="00000000">
              <w:rPr>
                <w:color w:val="1f497d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after="120" w:before="240" w:line="271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Сальникова Маргарита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spacing w:after="120" w:before="240" w:line="271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VoC-Платформа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120" w:before="240" w:line="271" w:lineRule="auto"/>
              <w:rPr>
                <w:color w:val="000000"/>
                <w:sz w:val="18"/>
                <w:szCs w:val="18"/>
              </w:rPr>
            </w:pPr>
            <w:hyperlink r:id="rId12">
              <w:r w:rsidDel="00000000" w:rsidR="00000000" w:rsidRPr="00000000">
                <w:rPr>
                  <w:color w:val="0000ff"/>
                  <w:sz w:val="18"/>
                  <w:szCs w:val="18"/>
                  <w:u w:val="single"/>
                  <w:rtl w:val="0"/>
                </w:rPr>
                <w:t xml:space="preserve">https://voc/vocs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120" w:before="240" w:line="271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120" w:before="240" w:line="271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Шамина Ирина</w:t>
            </w:r>
          </w:p>
          <w:p w:rsidR="00000000" w:rsidDel="00000000" w:rsidP="00000000" w:rsidRDefault="00000000" w:rsidRPr="00000000" w14:paraId="000001FB">
            <w:pPr>
              <w:spacing w:after="120" w:before="240" w:line="271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Никулин Максим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spacing w:after="120" w:before="240" w:line="271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АППП (Кошелек клиента) </w:t>
            </w:r>
          </w:p>
        </w:tc>
        <w:tc>
          <w:tcPr/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Где хранятся данные по флагам: sandbox ss_bidd_sb.OW_SB_SFACALC_LSTAT</w:t>
            </w:r>
          </w:p>
          <w:p w:rsidR="00000000" w:rsidDel="00000000" w:rsidP="00000000" w:rsidRDefault="00000000" w:rsidRPr="00000000" w14:paraId="000001FE">
            <w:pPr>
              <w:spacing w:after="120" w:before="240" w:line="271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Как часто обновляются данные: ежедневно</w:t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120" w:before="240" w:line="271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Будылев Юрий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spacing w:after="120" w:before="240" w:line="271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Claim CRM</w:t>
            </w:r>
          </w:p>
        </w:tc>
        <w:tc>
          <w:tcPr/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120" w:before="240" w:line="271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Печерица Евгения</w:t>
            </w:r>
          </w:p>
          <w:p w:rsidR="00000000" w:rsidDel="00000000" w:rsidP="00000000" w:rsidRDefault="00000000" w:rsidRPr="00000000" w14:paraId="00000203">
            <w:pPr>
              <w:spacing w:after="120" w:before="240" w:line="271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Трофимова Татьяна Таировна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spacing w:after="120" w:before="240" w:line="271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Чат с КМ в Альфа Босс</w:t>
            </w:r>
          </w:p>
        </w:tc>
        <w:tc>
          <w:tcPr/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120" w:before="240" w:line="271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Кац Борис</w:t>
            </w:r>
          </w:p>
          <w:p w:rsidR="00000000" w:rsidDel="00000000" w:rsidP="00000000" w:rsidRDefault="00000000" w:rsidRPr="00000000" w14:paraId="00000207">
            <w:pPr>
              <w:spacing w:after="120" w:before="240" w:line="271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Иванов Роман Олегович</w:t>
            </w:r>
          </w:p>
        </w:tc>
      </w:tr>
    </w:tbl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1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15" w:top="709" w:left="993" w:right="1041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артем волков" w:id="5" w:date="2026-05-27T16:15:45Z"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Мы просто говорим LLM "учти, пожалуйста, эти жалобы, проблемные зоны и историю взаимодействия" или есть какая-то конкретная методика?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нет, то ее разработка ожидается со стороны ДПА?</w:t>
      </w:r>
    </w:p>
  </w:comment>
  <w:comment w:author="Елена Маркова" w:id="6" w:date="2026-05-28T15:21:41Z"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Методика расчёта во втором файле</w:t>
      </w:r>
    </w:p>
  </w:comment>
  <w:comment w:author="артем волков" w:id="3" w:date="2026-05-27T16:14:24Z"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хватает критериев этой формулировки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они могут выглядеть (на мой взгляд):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формулировка отображает намерение, соответствующие цветовой индикации клиента (более формально/менее и т.п.)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длина формулировки N cимволов и M предложений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формулировка должна содержать такие-то ключевые слова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какие-то критерии формулировки заказчик не может сформулировать, то нужно ли проводить исследование(тестирование) на предмет их формализации?</w:t>
      </w:r>
    </w:p>
  </w:comment>
  <w:comment w:author="Елена Маркова" w:id="4" w:date="2026-05-28T15:23:29Z"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разве нельзя в промте прописать учти то и то и сформулируй в деловом стиле?  Учитывай, что ..... это критик(красный), а .... это промоутер(зеленый)</w:t>
      </w:r>
    </w:p>
  </w:comment>
  <w:comment w:author="Елена Маркова" w:id="1" w:date="2026-05-28T15:20:33Z"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они могут появится после тестирования. Сейчас можем только шаблонные примеры показать.</w:t>
      </w:r>
    </w:p>
  </w:comment>
  <w:comment w:author="Кристина Прохорова" w:id="2" w:date="2026-06-04T09:59:54Z"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Шаблонные подойдут на данном этапе</w:t>
      </w:r>
    </w:p>
  </w:comment>
  <w:comment w:author="артем волков" w:id="7" w:date="2026-05-28T12:40:14Z"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описание, примеры, где хранятся</w:t>
      </w:r>
    </w:p>
  </w:comment>
  <w:comment w:author="Кристина Прохорова" w:id="8" w:date="2026-05-28T13:27:43Z"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имеется в виду? Переписки с КМ в каналах связи с банком? Если да, то какая историчность требуется, сколько сообщений для получения контекста и из каких каналов связи?</w:t>
      </w:r>
    </w:p>
  </w:comment>
  <w:comment w:author="Кристина Прохорова" w:id="0" w:date="2026-05-28T10:40:31Z"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Необходимы эталонные примеры ИИ-рекомендаций в разрезе всех групп клиентов по светофору</w:t>
      </w:r>
    </w:p>
  </w:comment>
  <w:comment w:author="артем волков" w:id="9" w:date="2026-05-27T16:36:28Z"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Решаем задачу мультиклассовой классификации(три класса)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таком случае нужно зафиксировать подход по подсчету - one-vs-rest? или прямые алгоритмы?</w:t>
      </w:r>
    </w:p>
  </w:comment>
  <w:comment w:author="артем волков" w:id="10" w:date="2026-05-27T16:39:34Z"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дизбалансе классов метрика плохая, лучше добавить сюда полноту (recall) и F1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заказчиков думаю будет достаточно F1 (например, усредненная по каждому классу)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0C" w15:done="0"/>
  <w15:commentEx w15:paraId="0000020D" w15:paraIdParent="0000020C" w15:done="0"/>
  <w15:commentEx w15:paraId="00000215" w15:done="0"/>
  <w15:commentEx w15:paraId="00000216" w15:paraIdParent="00000215" w15:done="0"/>
  <w15:commentEx w15:paraId="00000217" w15:done="0"/>
  <w15:commentEx w15:paraId="00000218" w15:paraIdParent="00000217" w15:done="0"/>
  <w15:commentEx w15:paraId="00000219" w15:done="0"/>
  <w15:commentEx w15:paraId="0000021A" w15:paraIdParent="00000219" w15:done="0"/>
  <w15:commentEx w15:paraId="0000021B" w15:done="0"/>
  <w15:commentEx w15:paraId="0000021D" w15:done="0"/>
  <w15:commentEx w15:paraId="0000021F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Times New Roman"/>
  <w:font w:name="Calibri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Styrene A LC Regular"/>
  <w:font w:name="Arim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Times"/>
  <w:font w:name="Quattrocento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Helvetica Neue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  <w:font w:name="Noto Sans Symbols">
    <w:embedRegular w:fontKey="{00000000-0000-0000-0000-000000000000}" r:id="rId16" w:subsetted="0"/>
    <w:embedBold w:fontKey="{00000000-0000-0000-0000-000000000000}" r:id="rId1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20"/>
      </w:tabs>
      <w:rPr>
        <w:rFonts w:ascii="Helvetica Neue" w:cs="Helvetica Neue" w:eastAsia="Helvetica Neue" w:hAnsi="Helvetica Neue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476250</wp:posOffset>
              </wp:positionH>
              <wp:positionV relativeFrom="paragraph">
                <wp:posOffset>85242835</wp:posOffset>
              </wp:positionV>
              <wp:extent cx="4762500" cy="9007845"/>
              <wp:effectExtent b="0" l="0" r="0" t="0"/>
              <wp:wrapNone/>
              <wp:docPr id="27" name=""/>
              <a:graphic>
                <a:graphicData uri="http://schemas.microsoft.com/office/word/2010/wordprocessingShape">
                  <wps:wsp>
                    <wps:cNvSpPr/>
                    <wps:cNvPr id="28" name="Shape 28"/>
                    <wps:spPr>
                      <a:xfrm>
                        <a:off x="2971100" y="0"/>
                        <a:ext cx="4749800" cy="7560000"/>
                      </a:xfrm>
                      <a:prstGeom prst="roundRect">
                        <a:avLst>
                          <a:gd fmla="val 9896" name="adj"/>
                        </a:avLst>
                      </a:prstGeom>
                      <a:solidFill>
                        <a:srgbClr val="F4F4F4"/>
                      </a:solidFill>
                      <a:ln cap="flat" cmpd="sng" w="12700">
                        <a:solidFill>
                          <a:srgbClr val="F4F4F4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  <a:effectLst>
                        <a:outerShdw blurRad="63500" sx="102000" rotWithShape="0" algn="ctr" sy="102000">
                          <a:srgbClr val="000000">
                            <a:alpha val="40000"/>
                          </a:srgbClr>
                        </a:outerShdw>
                      </a:effectLst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476250</wp:posOffset>
              </wp:positionH>
              <wp:positionV relativeFrom="paragraph">
                <wp:posOffset>85242835</wp:posOffset>
              </wp:positionV>
              <wp:extent cx="4762500" cy="9007845"/>
              <wp:effectExtent b="0" l="0" r="0" t="0"/>
              <wp:wrapNone/>
              <wp:docPr id="27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62500" cy="90078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20"/>
      </w:tabs>
      <w:rPr>
        <w:rFonts w:ascii="Helvetica Neue" w:cs="Helvetica Neue" w:eastAsia="Helvetica Neue" w:hAnsi="Helvetica Neue"/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94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16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38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160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182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204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226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248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i w:val="1"/>
        <w:iCs w:val="1"/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i w:val="1"/>
        <w:iCs w:val="1"/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00"/>
      </w:pPr>
      <w:rPr>
        <w:i w:val="1"/>
        <w:iCs w:val="1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i w:val="1"/>
        <w:iCs w:val="1"/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i w:val="1"/>
        <w:iCs w:val="1"/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00"/>
      </w:pPr>
      <w:rPr>
        <w:i w:val="1"/>
        <w:iCs w:val="1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i w:val="1"/>
        <w:iCs w:val="1"/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i w:val="1"/>
        <w:iCs w:val="1"/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00"/>
      </w:pPr>
      <w:rPr>
        <w:i w:val="1"/>
        <w:iCs w:val="1"/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62" w:firstLine="58"/>
      </w:pPr>
      <w:rPr>
        <w:smallCaps w:val="0"/>
        <w:strike w:val="0"/>
        <w:sz w:val="22"/>
        <w:szCs w:val="22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383" w:firstLine="69.00000000000023"/>
      </w:pPr>
      <w:rPr>
        <w:smallCaps w:val="0"/>
        <w:strike w:val="0"/>
        <w:sz w:val="22"/>
        <w:szCs w:val="22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04" w:firstLine="80"/>
      </w:pPr>
      <w:rPr>
        <w:smallCaps w:val="0"/>
        <w:strike w:val="0"/>
        <w:sz w:val="22"/>
        <w:szCs w:val="22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25" w:firstLine="91"/>
      </w:pPr>
      <w:rPr>
        <w:smallCaps w:val="0"/>
        <w:strike w:val="0"/>
        <w:sz w:val="22"/>
        <w:szCs w:val="22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546" w:firstLine="102"/>
      </w:pPr>
      <w:rPr>
        <w:smallCaps w:val="0"/>
        <w:strike w:val="0"/>
        <w:sz w:val="22"/>
        <w:szCs w:val="22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267" w:firstLine="113"/>
      </w:pPr>
      <w:rPr>
        <w:smallCaps w:val="0"/>
        <w:strike w:val="0"/>
        <w:sz w:val="22"/>
        <w:szCs w:val="22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4988" w:firstLine="124"/>
      </w:pPr>
      <w:rPr>
        <w:smallCaps w:val="0"/>
        <w:strike w:val="0"/>
        <w:sz w:val="22"/>
        <w:szCs w:val="22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09" w:firstLine="135"/>
      </w:pPr>
      <w:rPr>
        <w:smallCaps w:val="0"/>
        <w:strike w:val="0"/>
        <w:sz w:val="22"/>
        <w:szCs w:val="22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30" w:firstLine="146"/>
      </w:pPr>
      <w:rPr>
        <w:smallCaps w:val="0"/>
        <w:strike w:val="0"/>
        <w:sz w:val="22"/>
        <w:szCs w:val="22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26" w:hanging="12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146" w:hanging="12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66" w:hanging="12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586" w:hanging="11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306" w:hanging="11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026" w:hanging="11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4746" w:hanging="12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466" w:hanging="12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186" w:hanging="12"/>
      </w:pPr>
      <w:rPr>
        <w:smallCaps w:val="0"/>
        <w:strike w:val="0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85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57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29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01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73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45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17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89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610" w:hanging="360"/>
      </w:pPr>
      <w:rPr>
        <w:smallCaps w:val="0"/>
        <w:strike w:val="0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0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0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00"/>
      </w:pPr>
      <w:rPr>
        <w:smallCaps w:val="0"/>
        <w:strike w:val="0"/>
        <w:shd w:fill="auto" w:val="clear"/>
        <w:vertAlign w:val="baseli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72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20" w:hanging="72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440" w:hanging="72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160" w:hanging="72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2880" w:hanging="72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3600" w:hanging="72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4320" w:hanging="72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040" w:hanging="72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5760" w:hanging="720"/>
      </w:pPr>
      <w:rPr>
        <w:smallCaps w:val="0"/>
        <w:strike w:val="0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•"/>
      <w:lvlJc w:val="left"/>
      <w:pPr>
        <w:ind w:left="72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94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16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38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160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182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204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226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248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decimal"/>
      <w:lvlText w:val="%1.%2."/>
      <w:lvlJc w:val="left"/>
      <w:pPr>
        <w:ind w:left="1080" w:hanging="1080"/>
      </w:pPr>
      <w:rPr/>
    </w:lvl>
    <w:lvl w:ilvl="2">
      <w:start w:val="1"/>
      <w:numFmt w:val="decimal"/>
      <w:lvlText w:val="%1.%2.%3."/>
      <w:lvlJc w:val="left"/>
      <w:pPr>
        <w:ind w:left="1440" w:hanging="1440"/>
      </w:pPr>
      <w:rPr/>
    </w:lvl>
    <w:lvl w:ilvl="3">
      <w:start w:val="1"/>
      <w:numFmt w:val="decimal"/>
      <w:lvlText w:val="%1.%2.%3.%4."/>
      <w:lvlJc w:val="left"/>
      <w:pPr>
        <w:ind w:left="1800" w:hanging="1800"/>
      </w:pPr>
      <w:rPr/>
    </w:lvl>
    <w:lvl w:ilvl="4">
      <w:start w:val="1"/>
      <w:numFmt w:val="decimal"/>
      <w:lvlText w:val="%1.%2.%3.%4.%5."/>
      <w:lvlJc w:val="left"/>
      <w:pPr>
        <w:ind w:left="2160" w:hanging="2160"/>
      </w:pPr>
      <w:rPr/>
    </w:lvl>
    <w:lvl w:ilvl="5">
      <w:start w:val="1"/>
      <w:numFmt w:val="decimal"/>
      <w:lvlText w:val="%1.%2.%3.%4.%5.%6."/>
      <w:lvlJc w:val="left"/>
      <w:pPr>
        <w:ind w:left="2520" w:hanging="2520"/>
      </w:pPr>
      <w:rPr/>
    </w:lvl>
    <w:lvl w:ilvl="6">
      <w:start w:val="1"/>
      <w:numFmt w:val="decimal"/>
      <w:lvlText w:val="%1.%2.%3.%4.%5.%6.%7."/>
      <w:lvlJc w:val="left"/>
      <w:pPr>
        <w:ind w:left="2880" w:hanging="2880"/>
      </w:pPr>
      <w:rPr/>
    </w:lvl>
    <w:lvl w:ilvl="7">
      <w:start w:val="1"/>
      <w:numFmt w:val="decimal"/>
      <w:lvlText w:val="%1.%2.%3.%4.%5.%6.%7.%8."/>
      <w:lvlJc w:val="left"/>
      <w:pPr>
        <w:ind w:left="3240" w:hanging="3240"/>
      </w:pPr>
      <w:rPr/>
    </w:lvl>
    <w:lvl w:ilvl="8">
      <w:start w:val="1"/>
      <w:numFmt w:val="decimal"/>
      <w:lvlText w:val="%1.%2.%3.%4.%5.%6.%7.%8.%9."/>
      <w:lvlJc w:val="left"/>
      <w:pPr>
        <w:ind w:left="3600" w:hanging="360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94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16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38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160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182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204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226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248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•"/>
      <w:lvlJc w:val="left"/>
      <w:pPr>
        <w:ind w:left="72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94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16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38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160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182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204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226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248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•"/>
      <w:lvlJc w:val="left"/>
      <w:pPr>
        <w:ind w:left="72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94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16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138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160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182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204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226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2480" w:hanging="500"/>
      </w:pPr>
      <w:rPr>
        <w:rFonts w:ascii="Times" w:cs="Times" w:eastAsia="Times" w:hAnsi="Time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•"/>
      <w:lvlJc w:val="left"/>
      <w:pPr>
        <w:ind w:left="108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80" w:hanging="42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z w:val="28"/>
        <w:szCs w:val="28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500" w:hanging="42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8"/>
        <w:szCs w:val="28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20" w:hanging="42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8"/>
        <w:szCs w:val="28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940" w:hanging="42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z w:val="28"/>
        <w:szCs w:val="28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60" w:hanging="42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8"/>
        <w:szCs w:val="28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80" w:hanging="42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8"/>
        <w:szCs w:val="28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100" w:hanging="42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z w:val="28"/>
        <w:szCs w:val="28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20" w:hanging="42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8"/>
        <w:szCs w:val="28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40" w:hanging="42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8"/>
        <w:szCs w:val="28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fa/prweb/PRServletContainerAuth/app/SCRMFW_/qNUiGsQfnsPynQ85NtgqTQ*/!STANDARD" TargetMode="External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hyperlink" Target="https://voc/vocs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8.png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QuattrocentoSans-boldItalic.ttf"/><Relationship Id="rId10" Type="http://schemas.openxmlformats.org/officeDocument/2006/relationships/font" Target="fonts/QuattrocentoSans-italic.ttf"/><Relationship Id="rId13" Type="http://schemas.openxmlformats.org/officeDocument/2006/relationships/font" Target="fonts/HelveticaNeue-bold.ttf"/><Relationship Id="rId12" Type="http://schemas.openxmlformats.org/officeDocument/2006/relationships/font" Target="fonts/HelveticaNeue-regular.ttf"/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Arimo-regular.ttf"/><Relationship Id="rId9" Type="http://schemas.openxmlformats.org/officeDocument/2006/relationships/font" Target="fonts/QuattrocentoSans-bold.ttf"/><Relationship Id="rId15" Type="http://schemas.openxmlformats.org/officeDocument/2006/relationships/font" Target="fonts/HelveticaNeue-boldItalic.ttf"/><Relationship Id="rId14" Type="http://schemas.openxmlformats.org/officeDocument/2006/relationships/font" Target="fonts/HelveticaNeue-italic.ttf"/><Relationship Id="rId17" Type="http://schemas.openxmlformats.org/officeDocument/2006/relationships/font" Target="fonts/NotoSansSymbols-bold.ttf"/><Relationship Id="rId16" Type="http://schemas.openxmlformats.org/officeDocument/2006/relationships/font" Target="fonts/NotoSansSymbols-regular.ttf"/><Relationship Id="rId5" Type="http://schemas.openxmlformats.org/officeDocument/2006/relationships/font" Target="fonts/Arimo-bold.ttf"/><Relationship Id="rId6" Type="http://schemas.openxmlformats.org/officeDocument/2006/relationships/font" Target="fonts/Arimo-italic.ttf"/><Relationship Id="rId7" Type="http://schemas.openxmlformats.org/officeDocument/2006/relationships/font" Target="fonts/Arimo-boldItalic.ttf"/><Relationship Id="rId8" Type="http://schemas.openxmlformats.org/officeDocument/2006/relationships/font" Target="fonts/QuattrocentoSans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5onwHdse9kdBKnRUgGeCAcebqw==">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