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3"/>
        </w:numPr>
        <w:suppressAutoHyphens w:val="true"/>
        <w:bidi w:val="0"/>
        <w:spacing w:before="140" w:after="120"/>
        <w:ind w:start="0" w:end="0" w:hanging="0"/>
        <w:jc w:val="center"/>
        <w:outlineLvl w:val="2"/>
        <w:rPr/>
      </w:pPr>
      <w:r>
        <w:rPr/>
        <w:t>Оглавление</w:t>
      </w:r>
    </w:p>
    <w:p>
      <w:pPr>
        <w:pStyle w:val="TextBody"/>
        <w:widowControl/>
        <w:numPr>
          <w:ilvl w:val="0"/>
          <w:numId w:val="0"/>
        </w:numPr>
        <w:suppressAutoHyphens w:val="true"/>
        <w:bidi w:val="0"/>
        <w:spacing w:before="140" w:after="120"/>
        <w:ind w:start="0" w:end="0" w:hanging="0"/>
        <w:jc w:val="center"/>
        <w:outlineLvl w:val="2"/>
        <w:rPr/>
      </w:pPr>
      <w:r>
        <w:rPr/>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Список источников……………………………………………………………………………………..7</w:t>
      </w:r>
    </w:p>
    <w:p>
      <w:pPr>
        <w:pStyle w:val="Normal"/>
        <w:bidi w:val="0"/>
        <w:spacing w:lineRule="auto" w:line="360"/>
        <w:jc w:val="start"/>
        <w:rPr>
          <w:lang w:val="ru-RU"/>
        </w:rPr>
      </w:pPr>
      <w:r>
        <w:rPr>
          <w:lang w:val="ru-RU"/>
        </w:rPr>
        <w:t>Приложение……………………………………………………………………………………………..8</w:t>
      </w:r>
    </w:p>
    <w:p>
      <w:pPr>
        <w:pStyle w:val="Normal"/>
        <w:bidi w:val="0"/>
        <w:spacing w:lineRule="auto" w:line="360"/>
        <w:jc w:val="start"/>
        <w:rPr>
          <w:lang w:val="ru-RU"/>
        </w:rPr>
      </w:pPr>
      <w:r>
        <w:rPr>
          <w:lang w:val="ru-RU"/>
        </w:rPr>
      </w:r>
      <w:r>
        <w:br w:type="page"/>
      </w:r>
    </w:p>
    <w:p>
      <w:pPr>
        <w:pStyle w:val="Heading3"/>
        <w:numPr>
          <w:ilvl w:val="2"/>
          <w:numId w:val="3"/>
        </w:numPr>
        <w:bidi w:val="0"/>
        <w:jc w:val="center"/>
        <w:rPr/>
      </w:pPr>
      <w:r>
        <w:rPr/>
        <w:t>Основные термины и определения</w:t>
      </w:r>
    </w:p>
    <w:p>
      <w:pPr>
        <w:pStyle w:val="TextBody"/>
        <w:bidi w:val="0"/>
        <w:jc w:val="center"/>
        <w:rPr/>
      </w:pPr>
      <w:r>
        <w:rPr/>
      </w:r>
    </w:p>
    <w:p>
      <w:pPr>
        <w:pStyle w:val="TextBody"/>
        <w:numPr>
          <w:ilvl w:val="0"/>
          <w:numId w:val="4"/>
        </w:numPr>
        <w:bidi w:val="0"/>
        <w:jc w:val="start"/>
        <w:rPr/>
      </w:pPr>
      <w:r>
        <w:rPr/>
        <w:t>SymPy – библиотека языка Python с открытым исходным кодом для символьных вычислений.</w:t>
      </w:r>
    </w:p>
    <w:p>
      <w:pPr>
        <w:pStyle w:val="TextBody"/>
        <w:numPr>
          <w:ilvl w:val="0"/>
          <w:numId w:val="4"/>
        </w:numPr>
        <w:bidi w:val="0"/>
        <w:jc w:val="start"/>
        <w:rPr/>
      </w:pPr>
      <w:r>
        <w:rPr/>
        <w:t>определение – замена переменных в интеграле</w:t>
      </w:r>
    </w:p>
    <w:p>
      <w:pPr>
        <w:pStyle w:val="TextBody"/>
        <w:numPr>
          <w:ilvl w:val="0"/>
          <w:numId w:val="4"/>
        </w:numPr>
        <w:bidi w:val="0"/>
        <w:jc w:val="start"/>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3"/>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3"/>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5"/>
        </w:numPr>
        <w:bidi w:val="0"/>
        <w:jc w:val="start"/>
        <w:rPr>
          <w:b/>
          <w:b/>
          <w:bCs/>
        </w:rPr>
      </w:pPr>
      <w:r>
        <w:rPr>
          <w:b/>
          <w:bCs/>
        </w:rPr>
        <w:t xml:space="preserve">Метод transform – </w:t>
      </w:r>
      <w:r>
        <w:rPr>
          <w:b/>
          <w:bCs/>
        </w:rPr>
        <w:t>описать что делает, как работает</w:t>
      </w:r>
    </w:p>
    <w:p>
      <w:pPr>
        <w:pStyle w:val="TextBody"/>
        <w:numPr>
          <w:ilvl w:val="1"/>
          <w:numId w:val="12"/>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2"/>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5"/>
        </w:numPr>
        <w:bidi w:val="0"/>
        <w:jc w:val="start"/>
        <w:rPr/>
      </w:pPr>
      <w:r>
        <w:rPr>
          <w:b/>
          <w:bCs/>
        </w:rPr>
        <w:t xml:space="preserve">Встроенный в библиотеку SymPy метод trigintegrate – </w:t>
      </w:r>
      <w:r>
        <w:rPr>
          <w:b/>
          <w:bCs/>
        </w:rPr>
        <w:t>проверить для линейных комбинаций</w:t>
      </w:r>
    </w:p>
    <w:p>
      <w:pPr>
        <w:pStyle w:val="TextBody"/>
        <w:numPr>
          <w:ilvl w:val="1"/>
          <w:numId w:val="13"/>
        </w:numPr>
        <w:bidi w:val="0"/>
        <w:jc w:val="start"/>
        <w:rPr/>
      </w:pPr>
      <w:r>
        <w:rPr/>
        <w:t>Позволяет вычислять интегралы от тригонометрических функций.</w:t>
      </w:r>
    </w:p>
    <w:p>
      <w:pPr>
        <w:pStyle w:val="TextBody"/>
        <w:numPr>
          <w:ilvl w:val="1"/>
          <w:numId w:val="13"/>
        </w:numPr>
        <w:bidi w:val="0"/>
        <w:jc w:val="start"/>
        <w:rPr/>
      </w:pPr>
      <w:r>
        <w:rPr/>
        <w:t xml:space="preserve">trigintegrate использует шаблоны для интегрирования, поэтому может вычислять только интегралы от конкретных функций, таких как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3"/>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3"/>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7"/>
        </w:numPr>
        <w:bidi w:val="0"/>
        <w:jc w:val="start"/>
        <w:rPr/>
      </w:pPr>
      <w:r>
        <w:rPr/>
        <w:t>Реализован метод trig_transform класса Integral</w:t>
      </w:r>
    </w:p>
    <w:p>
      <w:pPr>
        <w:pStyle w:val="TextBody"/>
        <w:numPr>
          <w:ilvl w:val="1"/>
          <w:numId w:val="7"/>
        </w:numPr>
        <w:bidi w:val="0"/>
        <w:jc w:val="start"/>
        <w:rPr/>
      </w:pPr>
      <w:r>
        <w:rPr/>
        <w:t>trig_transform принимает два аргумента – x (старая переменная), u (новая переменная)</w:t>
      </w:r>
    </w:p>
    <w:p>
      <w:pPr>
        <w:pStyle w:val="TextBody"/>
        <w:numPr>
          <w:ilvl w:val="0"/>
          <w:numId w:val="0"/>
        </w:numPr>
        <w:bidi w:val="0"/>
        <w:ind w:start="1080" w:hanging="0"/>
        <w:jc w:val="start"/>
        <w:rPr/>
      </w:pPr>
      <w:r>
        <w:rPr/>
        <w:t>x = f(u) или f(x) = u</w:t>
      </w:r>
    </w:p>
    <w:p>
      <w:pPr>
        <w:pStyle w:val="TextBody"/>
        <w:numPr>
          <w:ilvl w:val="0"/>
          <w:numId w:val="7"/>
        </w:numPr>
        <w:bidi w:val="0"/>
        <w:jc w:val="start"/>
        <w:rPr/>
      </w:pPr>
      <w:r>
        <w:rPr/>
        <w:t xml:space="preserve">Дополнительно реализован </w:t>
      </w:r>
      <w:r>
        <w:rPr/>
        <w:t xml:space="preserve">(вспомогательный) </w:t>
      </w:r>
      <w:r>
        <w:rPr/>
        <w:t>метод _calc_limits для пересчёта пределов интегрирования в определенных интегралах</w:t>
      </w:r>
    </w:p>
    <w:p>
      <w:pPr>
        <w:pStyle w:val="TextBody"/>
        <w:bidi w:val="0"/>
        <w:jc w:val="start"/>
        <w:rPr/>
      </w:pPr>
      <w:r>
        <w:rPr/>
      </w:r>
    </w:p>
    <w:p>
      <w:pPr>
        <w:pStyle w:val="TextBody"/>
        <w:bidi w:val="0"/>
        <w:jc w:val="start"/>
        <w:rPr/>
      </w:pPr>
      <w:r>
        <w:rPr/>
      </w:r>
    </w:p>
    <w:p>
      <w:pPr>
        <w:pStyle w:val="TextBody"/>
        <w:bidi w:val="0"/>
        <w:jc w:val="start"/>
        <w:rPr/>
      </w:pPr>
      <w:r>
        <w:rPr/>
        <w:t>Требования  к организации входных данных:</w:t>
      </w:r>
    </w:p>
    <w:p>
      <w:pPr>
        <w:pStyle w:val="TextBody"/>
        <w:numPr>
          <w:ilvl w:val="0"/>
          <w:numId w:val="8"/>
        </w:numPr>
        <w:bidi w:val="0"/>
        <w:jc w:val="start"/>
        <w:rPr/>
      </w:pPr>
      <w:r>
        <w:rPr/>
        <w:t xml:space="preserve">Корректные переменные для замены </w:t>
      </w:r>
      <w:r>
        <w:rPr/>
        <w:t>(переменные – символы), какие именно функции будут поддерживаться.</w:t>
      </w:r>
    </w:p>
    <w:p>
      <w:pPr>
        <w:pStyle w:val="TextBody"/>
        <w:numPr>
          <w:ilvl w:val="0"/>
          <w:numId w:val="0"/>
        </w:numPr>
        <w:bidi w:val="0"/>
        <w:ind w:start="1080" w:hanging="0"/>
        <w:jc w:val="start"/>
        <w:rPr/>
      </w:pPr>
      <w:r>
        <w:rPr/>
        <w:t>x = f(u) или f(x) = u</w:t>
      </w:r>
    </w:p>
    <w:p>
      <w:pPr>
        <w:pStyle w:val="TextBody"/>
        <w:bidi w:val="0"/>
        <w:jc w:val="start"/>
        <w:rPr/>
      </w:pPr>
      <w:r>
        <w:rPr/>
        <w:t>Требования к организации выходных данных:</w:t>
      </w:r>
    </w:p>
    <w:p>
      <w:pPr>
        <w:pStyle w:val="TextBody"/>
        <w:numPr>
          <w:ilvl w:val="0"/>
          <w:numId w:val="9"/>
        </w:numPr>
        <w:bidi w:val="0"/>
        <w:jc w:val="start"/>
        <w:rPr/>
      </w:pPr>
      <w:r>
        <w:rPr/>
        <w:t xml:space="preserve">Интеграл с корректно </w:t>
      </w:r>
      <w:r>
        <w:rPr/>
        <w:t>проведённой заменой переменных</w:t>
      </w:r>
    </w:p>
    <w:p>
      <w:pPr>
        <w:pStyle w:val="TextBody"/>
        <w:numPr>
          <w:ilvl w:val="0"/>
          <w:numId w:val="9"/>
        </w:numPr>
        <w:bidi w:val="0"/>
        <w:jc w:val="start"/>
        <w:rPr/>
      </w:pPr>
      <w:r>
        <w:rPr/>
        <w:t>Новые</w:t>
      </w:r>
      <w:r>
        <w:rPr/>
        <w:t xml:space="preserve"> пределы интегрирования </w:t>
      </w:r>
      <w:r>
        <w:rPr/>
        <w:t>(если есть)</w:t>
      </w:r>
    </w:p>
    <w:p>
      <w:pPr>
        <w:pStyle w:val="TextBody"/>
        <w:numPr>
          <w:ilvl w:val="0"/>
          <w:numId w:val="9"/>
        </w:numPr>
        <w:bidi w:val="0"/>
        <w:jc w:val="start"/>
        <w:rPr/>
      </w:pPr>
      <w:r>
        <w:rPr/>
        <w:t>Тот же самый интеграл, если замену провести нельзя</w:t>
      </w:r>
    </w:p>
    <w:p>
      <w:pPr>
        <w:pStyle w:val="TextBody"/>
        <w:numPr>
          <w:ilvl w:val="0"/>
          <w:numId w:val="9"/>
        </w:numPr>
        <w:bidi w:val="0"/>
        <w:jc w:val="start"/>
        <w:rPr/>
      </w:pPr>
      <w:r>
        <w:rPr/>
        <w:t xml:space="preserve">Исключение ValueError в случае </w:t>
      </w:r>
      <w:r>
        <w:rPr/>
        <w:t>некорректной ввода или входных  данных ??</w:t>
      </w:r>
      <w:r>
        <w:rPr/>
        <w:t xml:space="preserve">  </w:t>
      </w:r>
    </w:p>
    <w:p>
      <w:pPr>
        <w:pStyle w:val="TextBody"/>
        <w:bidi w:val="0"/>
        <w:jc w:val="start"/>
        <w:rPr/>
      </w:pPr>
      <w:r>
        <w:rPr/>
        <w:t>Требования к временным характеристикам:</w:t>
      </w:r>
    </w:p>
    <w:p>
      <w:pPr>
        <w:pStyle w:val="TextBody"/>
        <w:numPr>
          <w:ilvl w:val="0"/>
          <w:numId w:val="10"/>
        </w:numPr>
        <w:bidi w:val="0"/>
        <w:jc w:val="start"/>
        <w:rPr/>
      </w:pPr>
      <w:r>
        <w:rPr/>
        <w:t>Программа должна завершаться за разумное время</w:t>
      </w:r>
    </w:p>
    <w:p>
      <w:pPr>
        <w:pStyle w:val="TextBody"/>
        <w:numPr>
          <w:ilvl w:val="0"/>
          <w:numId w:val="10"/>
        </w:numPr>
        <w:bidi w:val="0"/>
        <w:jc w:val="start"/>
        <w:rPr/>
      </w:pPr>
      <w:r>
        <w:rPr/>
        <w:t>Счётчик времени ?? – если решение не найдено за разумное время (параметр по умолчанию time)</w:t>
      </w:r>
      <w:r>
        <w:br w:type="page"/>
      </w:r>
    </w:p>
    <w:p>
      <w:pPr>
        <w:pStyle w:val="Heading3"/>
        <w:numPr>
          <w:ilvl w:val="2"/>
          <w:numId w:val="3"/>
        </w:numPr>
        <w:bidi w:val="0"/>
        <w:jc w:val="center"/>
        <w:rPr/>
      </w:pPr>
      <w:r>
        <w:rPr/>
        <w:t>Описание нефункциональных требований</w:t>
      </w:r>
    </w:p>
    <w:p>
      <w:pPr>
        <w:pStyle w:val="TextBody"/>
        <w:bidi w:val="0"/>
        <w:jc w:val="start"/>
        <w:rPr/>
      </w:pPr>
      <w:r>
        <w:rPr/>
      </w:r>
    </w:p>
    <w:p>
      <w:pPr>
        <w:pStyle w:val="TextBody"/>
        <w:numPr>
          <w:ilvl w:val="0"/>
          <w:numId w:val="11"/>
        </w:numPr>
        <w:bidi w:val="0"/>
        <w:jc w:val="start"/>
        <w:rPr/>
      </w:pPr>
      <w:r>
        <w:rPr/>
        <w:t>Требования к документации</w:t>
      </w:r>
    </w:p>
    <w:p>
      <w:pPr>
        <w:pStyle w:val="TextBody"/>
        <w:numPr>
          <w:ilvl w:val="1"/>
          <w:numId w:val="11"/>
        </w:numPr>
        <w:bidi w:val="0"/>
        <w:jc w:val="start"/>
        <w:rPr/>
      </w:pPr>
      <w:r>
        <w:rPr/>
        <w:t>doc_string – на английском</w:t>
      </w:r>
    </w:p>
    <w:p>
      <w:pPr>
        <w:pStyle w:val="TextBody"/>
        <w:numPr>
          <w:ilvl w:val="2"/>
          <w:numId w:val="11"/>
        </w:numPr>
        <w:bidi w:val="0"/>
        <w:jc w:val="start"/>
        <w:rPr/>
      </w:pPr>
      <w:r>
        <w:rPr/>
        <w:t>Описание исключений и ошибок, которые могут возникать в trig_transform</w:t>
      </w:r>
    </w:p>
    <w:p>
      <w:pPr>
        <w:pStyle w:val="TextBody"/>
        <w:numPr>
          <w:ilvl w:val="2"/>
          <w:numId w:val="11"/>
        </w:numPr>
        <w:bidi w:val="0"/>
        <w:jc w:val="start"/>
        <w:rPr/>
      </w:pPr>
      <w:r>
        <w:rPr/>
        <w:t>Примеры правильного и неправильного использования trig_transform</w:t>
      </w:r>
    </w:p>
    <w:p>
      <w:pPr>
        <w:pStyle w:val="TextBody"/>
        <w:numPr>
          <w:ilvl w:val="1"/>
          <w:numId w:val="11"/>
        </w:numPr>
        <w:bidi w:val="0"/>
        <w:jc w:val="start"/>
        <w:rPr/>
      </w:pPr>
      <w:r>
        <w:rPr/>
        <w:t>Краткое описание метода trig_integrate и его возможностей</w:t>
      </w:r>
    </w:p>
    <w:p>
      <w:pPr>
        <w:pStyle w:val="TextBody"/>
        <w:numPr>
          <w:ilvl w:val="0"/>
          <w:numId w:val="11"/>
        </w:numPr>
        <w:bidi w:val="0"/>
        <w:jc w:val="start"/>
        <w:rPr/>
      </w:pPr>
      <w:r>
        <w:rPr/>
        <w:t>Требования к примерам</w:t>
      </w:r>
    </w:p>
    <w:p>
      <w:pPr>
        <w:pStyle w:val="TextBody"/>
        <w:numPr>
          <w:ilvl w:val="1"/>
          <w:numId w:val="11"/>
        </w:numPr>
        <w:bidi w:val="0"/>
        <w:jc w:val="start"/>
        <w:rPr/>
      </w:pPr>
      <w:r>
        <w:rPr/>
        <w:t xml:space="preserve">Примеры </w:t>
      </w:r>
      <w:r>
        <w:rPr/>
        <w:t>применения замены переменной к типовым задачам</w:t>
      </w:r>
      <w:r>
        <w:rPr/>
        <w:t xml:space="preserve"> из курса математического анализа ??</w:t>
      </w:r>
    </w:p>
    <w:p>
      <w:pPr>
        <w:pStyle w:val="TextBody"/>
        <w:numPr>
          <w:ilvl w:val="0"/>
          <w:numId w:val="11"/>
        </w:numPr>
        <w:bidi w:val="0"/>
        <w:jc w:val="start"/>
        <w:rPr/>
      </w:pPr>
      <w:r>
        <w:rPr/>
        <w:t>Требования к тестам</w:t>
      </w:r>
    </w:p>
    <w:p>
      <w:pPr>
        <w:pStyle w:val="TextBody"/>
        <w:numPr>
          <w:ilvl w:val="1"/>
          <w:numId w:val="11"/>
        </w:numPr>
        <w:bidi w:val="0"/>
        <w:jc w:val="start"/>
        <w:rPr/>
      </w:pPr>
      <w:r>
        <w:rPr/>
        <w:t xml:space="preserve">Корректные тесты </w:t>
      </w:r>
      <w:r>
        <w:rPr/>
        <w:t>на каждую из тригонометрических подстановок</w:t>
      </w:r>
    </w:p>
    <w:p>
      <w:pPr>
        <w:pStyle w:val="TextBody"/>
        <w:numPr>
          <w:ilvl w:val="1"/>
          <w:numId w:val="11"/>
        </w:numPr>
        <w:bidi w:val="0"/>
        <w:jc w:val="start"/>
        <w:rPr/>
      </w:pPr>
      <w:r>
        <w:rPr/>
        <w:t>Тесты, некорректно использующие метод trig_integrate</w:t>
      </w:r>
    </w:p>
    <w:p>
      <w:pPr>
        <w:pStyle w:val="TextBody"/>
        <w:bidi w:val="0"/>
        <w:jc w:val="start"/>
        <w:rPr/>
      </w:pPr>
      <w:r>
        <w:rPr/>
        <w:t>При этом, при некорректных тестах метод trig_integrate должен сообщать об ошибке, а при обычных тестах выдавать правильный ответ.</w:t>
      </w:r>
    </w:p>
    <w:p>
      <w:pPr>
        <w:pStyle w:val="TextBody"/>
        <w:numPr>
          <w:ilvl w:val="0"/>
          <w:numId w:val="14"/>
        </w:numPr>
        <w:bidi w:val="0"/>
        <w:jc w:val="start"/>
        <w:rPr/>
      </w:pPr>
      <w:r>
        <w:rPr/>
        <w:t>Дополнительные требования</w:t>
      </w:r>
    </w:p>
    <w:p>
      <w:pPr>
        <w:pStyle w:val="TextBody"/>
        <w:numPr>
          <w:ilvl w:val="1"/>
          <w:numId w:val="14"/>
        </w:numPr>
        <w:bidi w:val="0"/>
        <w:jc w:val="start"/>
        <w:rPr/>
      </w:pPr>
      <w:r>
        <w:rPr/>
        <w:t>Параметр debug, п</w:t>
      </w:r>
      <w:r>
        <w:rPr/>
        <w:t>ри котором пользователю выводится выражение, дифференциал новой переменной, и т.п.</w:t>
      </w:r>
      <w:r>
        <w:br w:type="page"/>
      </w:r>
    </w:p>
    <w:p>
      <w:pPr>
        <w:pStyle w:val="Heading3"/>
        <w:numPr>
          <w:ilvl w:val="4"/>
          <w:numId w:val="3"/>
        </w:numPr>
        <w:bidi w:val="0"/>
        <w:jc w:val="center"/>
        <w:rPr/>
      </w:pPr>
      <w:r>
        <w:rPr/>
        <w:t>Список источников</w:t>
      </w:r>
    </w:p>
    <w:p>
      <w:pPr>
        <w:pStyle w:val="TextBody"/>
        <w:bidi w:val="0"/>
        <w:spacing w:before="0" w:after="140"/>
        <w:jc w:val="start"/>
        <w:rPr/>
      </w:pPr>
      <w:r>
        <w:rPr/>
      </w:r>
    </w:p>
    <w:p>
      <w:pPr>
        <w:pStyle w:val="TextBody"/>
        <w:numPr>
          <w:ilvl w:val="0"/>
          <w:numId w:val="6"/>
        </w:numPr>
        <w:bidi w:val="0"/>
        <w:spacing w:before="0" w:after="140"/>
        <w:jc w:val="start"/>
        <w:rPr/>
      </w:pPr>
      <w:r>
        <w:rPr>
          <w:b/>
          <w:bCs/>
          <w:i/>
          <w:iCs/>
        </w:rPr>
        <w:t>Документация библиотеки SymPy</w:t>
      </w:r>
      <w:r>
        <w:rPr/>
        <w:t xml:space="preserve"> – [Электронный ресурс] </w:t>
      </w:r>
      <w:hyperlink r:id="rId3">
        <w:r>
          <w:rPr>
            <w:rStyle w:val="InternetLink"/>
          </w:rPr>
          <w:t>https://docs.sympy.org</w:t>
        </w:r>
      </w:hyperlink>
    </w:p>
    <w:p>
      <w:pPr>
        <w:pStyle w:val="TextBody"/>
        <w:numPr>
          <w:ilvl w:val="0"/>
          <w:numId w:val="6"/>
        </w:numPr>
        <w:bidi w:val="0"/>
        <w:spacing w:before="0" w:after="140"/>
        <w:jc w:val="start"/>
        <w:rPr/>
      </w:pPr>
      <w:r>
        <w:rPr/>
        <w:t>Ссылки на класс интегралов, trigintegrate, transform</w:t>
      </w:r>
    </w:p>
    <w:p>
      <w:pPr>
        <w:pStyle w:val="TextBody"/>
        <w:numPr>
          <w:ilvl w:val="0"/>
          <w:numId w:val="6"/>
        </w:numPr>
        <w:bidi w:val="0"/>
        <w:spacing w:before="0" w:after="140"/>
        <w:jc w:val="start"/>
        <w:rPr/>
      </w:pPr>
      <w:r>
        <w:rPr>
          <w:b/>
          <w:bCs/>
          <w:i/>
          <w:iCs/>
        </w:rPr>
        <w:t>Документация Python3.8</w:t>
      </w:r>
      <w:r>
        <w:rPr/>
        <w:t xml:space="preserve"> – [Электронный ресурс] https://docs.python.org/3.8/</w:t>
      </w:r>
    </w:p>
    <w:p>
      <w:pPr>
        <w:pStyle w:val="TextBody"/>
        <w:numPr>
          <w:ilvl w:val="0"/>
          <w:numId w:val="6"/>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numPr>
          <w:ilvl w:val="0"/>
          <w:numId w:val="6"/>
        </w:numPr>
        <w:bidi w:val="0"/>
        <w:spacing w:before="0" w:after="140"/>
        <w:jc w:val="start"/>
        <w:rPr/>
      </w:pPr>
      <w:r>
        <w:rPr/>
        <w:t>Страницы ?</w:t>
      </w:r>
    </w:p>
    <w:p>
      <w:pPr>
        <w:pStyle w:val="TextBody"/>
        <w:numPr>
          <w:ilvl w:val="0"/>
          <w:numId w:val="0"/>
        </w:numPr>
        <w:bidi w:val="0"/>
        <w:spacing w:before="0" w:after="140"/>
        <w:ind w:start="720" w:hanging="0"/>
        <w:jc w:val="start"/>
        <w:rPr/>
      </w:pPr>
      <w:r>
        <w:rPr/>
      </w:r>
      <w:r>
        <w:br w:type="page"/>
      </w:r>
    </w:p>
    <w:p>
      <w:pPr>
        <w:pStyle w:val="Heading3"/>
        <w:numPr>
          <w:ilvl w:val="2"/>
          <w:numId w:val="2"/>
        </w:numPr>
        <w:jc w:val="center"/>
        <w:rPr/>
      </w:pPr>
      <w:r>
        <w:rPr/>
        <w:t xml:space="preserve">Приложение </w:t>
      </w:r>
    </w:p>
    <w:p>
      <w:pPr>
        <w:pStyle w:val="Heading"/>
        <w:jc w:val="center"/>
        <w:rPr>
          <w:b/>
          <w:b/>
          <w:bCs/>
          <w:i/>
          <w:i/>
          <w:iCs/>
          <w:sz w:val="22"/>
          <w:szCs w:val="22"/>
        </w:rPr>
      </w:pPr>
      <w:r>
        <w:rPr>
          <w:b/>
          <w:bCs/>
          <w:i/>
          <w:iCs/>
          <w:sz w:val="22"/>
          <w:szCs w:val="22"/>
        </w:rPr>
        <w:t>Календарный план</w:t>
      </w:r>
    </w:p>
    <w:p>
      <w:pPr>
        <w:pStyle w:val="TextBody"/>
        <w:jc w:val="center"/>
        <w:rPr/>
      </w:pPr>
      <w:r>
        <w:rPr/>
      </w:r>
    </w:p>
    <w:p>
      <w:pPr>
        <w:pStyle w:val="TextBody"/>
        <w:jc w:val="center"/>
        <w:rPr/>
      </w:pPr>
      <w:r>
        <w:rPr/>
      </w:r>
    </w:p>
    <w:tbl>
      <w:tblPr>
        <w:tblW w:w="9990" w:type="dxa"/>
        <w:jc w:val="start"/>
        <w:tblInd w:w="55" w:type="dxa"/>
        <w:tblCellMar>
          <w:top w:w="55" w:type="dxa"/>
          <w:start w:w="55" w:type="dxa"/>
          <w:bottom w:w="55" w:type="dxa"/>
          <w:end w:w="55" w:type="dxa"/>
        </w:tblCellMar>
      </w:tblPr>
      <w:tblGrid>
        <w:gridCol w:w="5580"/>
        <w:gridCol w:w="4409"/>
      </w:tblGrid>
      <w:tr>
        <w:trPr/>
        <w:tc>
          <w:tcPr>
            <w:tcW w:w="5580" w:type="dxa"/>
            <w:tcBorders>
              <w:top w:val="single" w:sz="4" w:space="0" w:color="000000"/>
              <w:start w:val="single" w:sz="4" w:space="0" w:color="000000"/>
              <w:bottom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Запланированные задачи</w:t>
            </w:r>
          </w:p>
        </w:tc>
        <w:tc>
          <w:tcPr>
            <w:tcW w:w="4409" w:type="dxa"/>
            <w:tcBorders>
              <w:top w:val="single" w:sz="4" w:space="0" w:color="000000"/>
              <w:start w:val="single" w:sz="4" w:space="0" w:color="000000"/>
              <w:bottom w:val="single" w:sz="4" w:space="0" w:color="000000"/>
              <w:end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Срок выполнения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области исследования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ноября — 20 декабря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 20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Анализ существующих решений</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 — 31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КТ-1</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февраля — 8 февраля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Функция пересчёта пределов для определённого интеграла</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Возможные исключения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Метод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Параметр debug</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 февраля — 31 марта</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Подбор примеров из курса математического анализа с алгоритмом решения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апреля – 10 апреля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документации по образцу, принятому в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апреля — 30 апреля</w:t>
            </w:r>
          </w:p>
        </w:tc>
      </w:tr>
    </w:tbl>
    <w:p>
      <w:pPr>
        <w:pStyle w:val="TextBody"/>
        <w:spacing w:before="0" w:after="140"/>
        <w:jc w:val="start"/>
        <w:rPr/>
      </w:pPr>
      <w:r>
        <w:rPr/>
      </w:r>
    </w:p>
    <w:sectPr>
      <w:footerReference w:type="default" r:id="rId4"/>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sympy.org/"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462</TotalTime>
  <Application>LibreOffice/6.4.6.2$Linux_X86_64 LibreOffice_project/40$Build-2</Application>
  <Pages>8</Pages>
  <Words>767</Words>
  <Characters>5421</Characters>
  <CharactersWithSpaces>6096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2021-03-03T00:03:09Z</dcterms:modified>
  <cp:revision>12</cp:revision>
  <dc:subject/>
  <dc:title/>
</cp:coreProperties>
</file>