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true"/>
        <w:widowControl/>
        <w:numPr>
          <w:ilvl w:val="2"/>
          <w:numId w:val="2"/>
        </w:numPr>
        <w:suppressAutoHyphens w:val="true"/>
        <w:bidi w:val="0"/>
        <w:spacing w:before="140" w:after="120"/>
        <w:ind w:start="0" w:end="0" w:hanging="0"/>
        <w:jc w:val="center"/>
        <w:outlineLvl w:val="2"/>
        <w:rPr/>
      </w:pPr>
      <w:r>
        <w:rPr/>
        <w:t>Оглавление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Основные термины и определения……………………………………………………………………2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Введение………………………………………………………………………………………………...3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Обзор и сравнительный анализ источников и аналогов……………………………………………..4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функциональных требований……………………………………………………………...5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нефункциональных требований…………………………………………………………...6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Список источников……………………………………………………………………………………..7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Основные термины и определения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Python3.8 – версия высокоуровнего интерпретируемого языка программирования Pytho</w:t>
      </w:r>
      <w:r>
        <w:rPr/>
        <w:t>n.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SymPy – библиотека языка Python с открытым исходным кодом для символьных вычислений.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 xml:space="preserve">Тригонометрическая подстановка – </w:t>
      </w:r>
      <w:r>
        <w:rPr/>
        <w:t>замена в интеграле вида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r>
          <m:t xml:space="preserve">tg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x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/>
        <w:t xml:space="preserve">. </w:t>
      </w:r>
      <w:r>
        <w:rPr/>
        <w:t xml:space="preserve">При такой подстановке </w:t>
      </w:r>
      <w:r>
        <w:rPr/>
      </w:r>
      <m:oMath xmlns:m="http://schemas.openxmlformats.org/officeDocument/2006/math">
        <m:r>
          <m:t xml:space="preserve">dx</m:t>
        </m:r>
        <m:r>
          <m:t xml:space="preserve">=</m:t>
        </m:r>
        <m:f>
          <m:num>
            <m:r>
              <m:t xml:space="preserve">2</m:t>
            </m:r>
            <m:r>
              <m:t xml:space="preserve">dt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2</m:t>
            </m:r>
            <m:r>
              <m:t xml:space="preserve">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  <m:r>
              <m:t xml:space="preserve">−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>,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arctg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Введение</w:t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 xml:space="preserve">В наше время компьютеризированные вычисления играют очень большую роль во всех областях жизни, в особенности в науке. Они используются в авиации, космонавтике, архитектуре. </w:t>
      </w:r>
      <w:r>
        <w:rPr/>
        <w:t>И если в 20-ом веке до развития вычислительных систем необходимые расчёты приходилось проводить руками, то сейчас для этого используются компьютеры.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Преимущества очевидны: компьютеры не допускают ошибок, им не требуется отдых, они могут перебрать тысячи способов решения задачи за короткий временной промежуток. Именно поэтому с развитием вычислительных мощностей и популяризацией компьютеров человечество перешло на компьютеризированные вычисления.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Однако, компьютеры всё ещё ограничены в том плане, что они могут проводить только алгоритмические вычисления. То есть им необходим алгоритм или программа, следуя которым они будут проводить расчёты. -----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Так, например, библиотека символьных вычислений SymPy языка Python позволяет вычислять определённые и неопределённые интегралы, но с ограничениями. SymPy позволяет проводить замен</w:t>
      </w:r>
      <w:r>
        <w:rPr/>
        <w:t>ы</w:t>
      </w:r>
      <w:r>
        <w:rPr/>
        <w:t xml:space="preserve"> переменных в интеграле, однако только такие, при которых между старой и новой переменной можно установить взаимно однозначное соответствие. Поэтому библиотека не позволяет считать интегралы с помощью тригонометрических подстановок, широко используемых в математическом анализе.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 xml:space="preserve">Цель данного проекта – реализовать метод (функцию класса) trig_transform </w:t>
      </w:r>
      <w:r>
        <w:rPr/>
        <w:t>для проведения тригонометрических подстановок в определённом и неопределённом интеграле. Написать для него документацию и примеры использования по образцу, принятому в SymPy.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Обзор и сравнительный анализ источников и аналогов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Scipy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trigintegrate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123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нефункциональных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123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Список источников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hyperlink r:id="rId2">
        <w:r>
          <w:rPr>
            <w:rStyle w:val="InternetLink"/>
          </w:rPr>
          <w:t>https://docs.sympy.org</w:t>
        </w:r>
      </w:hyperlink>
      <w:hyperlink r:id="rId3">
        <w:r>
          <w:rPr/>
          <w:t xml:space="preserve"> – документация библиотеки SymPy</w:t>
        </w:r>
      </w:hyperlink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/>
        <w:t>https://docs.python.org/3.8/ – документация Python3.8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>
          <w:b/>
        </w:rPr>
        <w:t>Основы</w:t>
      </w:r>
      <w:r>
        <w:rPr/>
        <w:t xml:space="preserve"> </w:t>
      </w:r>
      <w:r>
        <w:rPr>
          <w:b/>
        </w:rPr>
        <w:t>математического</w:t>
      </w:r>
      <w:r>
        <w:rPr/>
        <w:t xml:space="preserve"> </w:t>
      </w:r>
      <w:r>
        <w:rPr>
          <w:b/>
        </w:rPr>
        <w:t>анализа</w:t>
      </w:r>
      <w:r>
        <w:rPr/>
        <w:t xml:space="preserve">. В 2-х ч. </w:t>
      </w:r>
      <w:r>
        <w:rPr>
          <w:b/>
        </w:rPr>
        <w:t>Ильин</w:t>
      </w:r>
      <w:r>
        <w:rPr/>
        <w:t xml:space="preserve"> </w:t>
      </w:r>
      <w:r>
        <w:rPr>
          <w:b/>
        </w:rPr>
        <w:t>В</w:t>
      </w:r>
      <w:r>
        <w:rPr/>
        <w:t>.</w:t>
      </w:r>
      <w:r>
        <w:rPr>
          <w:b/>
        </w:rPr>
        <w:t>А</w:t>
      </w:r>
      <w:r>
        <w:rPr/>
        <w:t xml:space="preserve">., </w:t>
      </w:r>
      <w:r>
        <w:rPr>
          <w:b/>
        </w:rPr>
        <w:t>Позняк</w:t>
      </w:r>
      <w:r>
        <w:rPr/>
        <w:t xml:space="preserve"> </w:t>
      </w:r>
      <w:r>
        <w:rPr>
          <w:b/>
        </w:rPr>
        <w:t>Э</w:t>
      </w:r>
      <w:r>
        <w:rPr/>
        <w:t>.</w:t>
      </w:r>
      <w:r>
        <w:rPr>
          <w:b/>
        </w:rPr>
        <w:t>Г</w:t>
      </w:r>
      <w:r>
        <w:rPr/>
        <w:t>. М.: Физматлит. Ч.2 - 2005, 7-е изд., 648с.</w:t>
      </w:r>
    </w:p>
    <w:sectPr>
      <w:footerReference w:type="default" r:id="rId4"/>
      <w:type w:val="nextPage"/>
      <w:pgSz w:w="12240" w:h="15840"/>
      <w:pgMar w:left="1125" w:right="1125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ympy.org/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LibreOffice/6.4.6.2$Linux_X86_64 LibreOffice_project/40$Build-2</Application>
  <Pages>7</Pages>
  <Words>299</Words>
  <Characters>2298</Characters>
  <CharactersWithSpaces>2579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2021-02-06T13:33:44Z</dcterms:created>
  <dc:creator/>
  <dc:description/>
  <dc:language>en-US</dc:language>
  <cp:lastModifiedBy/>
  <dcterms:modified xsi:type="dcterms:W3CDTF">2021-02-07T15:29:25Z</dcterms:modified>
  <cp:revision>4</cp:revision>
  <dc:subject/>
  <dc:title/>
</cp:coreProperties>
</file>