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284C7"/>
          <w:sz w:val="19"/>
        </w:rPr>
        <w:t>IBM SKILLSBUILD CYBER SECURITY 2026 · CONDUCTED BY BHARATCARES</w:t>
      </w:r>
    </w:p>
    <w:p>
      <w:pPr>
        <w:spacing w:before="240" w:after="80"/>
        <w:jc w:val="center"/>
      </w:pPr>
      <w:r>
        <w:rPr>
          <w:b/>
          <w:color w:val="0F172A"/>
          <w:sz w:val="64"/>
        </w:rPr>
        <w:t>SecEngine</w:t>
      </w:r>
    </w:p>
    <w:p>
      <w:pPr>
        <w:spacing w:after="480"/>
        <w:jc w:val="center"/>
      </w:pPr>
      <w:r>
        <w:rPr>
          <w:color w:val="64748B"/>
          <w:sz w:val="26"/>
        </w:rPr>
        <w:t>Automated Web Security &amp; Threat Detection Suite</w:t>
        <w:br/>
        <w:t>Full-Stack Cybersecurity Project Deliverable</w:t>
      </w:r>
    </w:p>
    <w:tbl>
      <w:tblPr>
        <w:tblW w:type="auto" w:w="0"/>
        <w:jc w:val="center"/>
        <w:tblLayout w:type="fixed"/>
        <w:tblLook w:firstColumn="1" w:firstRow="1" w:lastColumn="0" w:lastRow="0" w:noHBand="0" w:noVBand="1" w:val="04A0"/>
      </w:tblPr>
      <w:tblGrid>
        <w:gridCol w:w="4680"/>
        <w:gridCol w:w="4680"/>
      </w:tblGrid>
      <w:tr>
        <w:tc>
          <w:tcPr>
            <w:tcW w:type="dxa" w:w="3600"/>
            <w:shd w:val="clear" w:color="auto" w:fill="F1F5F9"/>
            <w:tcMar>
              <w:top w:w="120" w:type="dxa"/>
              <w:bottom w:w="120" w:type="dxa"/>
              <w:left w:w="180" w:type="dxa"/>
              <w:right w:w="180" w:type="dxa"/>
            </w:tcMar>
          </w:tcPr>
          <w:p>
            <w:r>
              <w:rPr>
                <w:b/>
                <w:color w:val="1E293B"/>
                <w:sz w:val="20"/>
              </w:rPr>
              <w:t>Candidate / Student Name</w:t>
            </w:r>
          </w:p>
        </w:tc>
        <w:tc>
          <w:tcPr>
            <w:tcW w:type="dxa" w:w="5760"/>
            <w:shd w:val="clear" w:color="auto" w:fill="F8FAFC"/>
            <w:tcMar>
              <w:top w:w="120" w:type="dxa"/>
              <w:bottom w:w="120" w:type="dxa"/>
              <w:left w:w="180" w:type="dxa"/>
              <w:right w:w="180" w:type="dxa"/>
            </w:tcMar>
          </w:tcPr>
          <w:p>
            <w:r>
              <w:rPr>
                <w:color w:val="334155"/>
                <w:sz w:val="20"/>
              </w:rPr>
              <w:t>Akshay Sharma</w:t>
            </w:r>
          </w:p>
        </w:tc>
      </w:tr>
      <w:tr>
        <w:tc>
          <w:tcPr>
            <w:tcW w:type="dxa" w:w="3600"/>
            <w:shd w:val="clear" w:color="auto" w:fill="F1F5F9"/>
            <w:tcMar>
              <w:top w:w="120" w:type="dxa"/>
              <w:bottom w:w="120" w:type="dxa"/>
              <w:left w:w="180" w:type="dxa"/>
              <w:right w:w="180" w:type="dxa"/>
            </w:tcMar>
          </w:tcPr>
          <w:p>
            <w:r>
              <w:rPr>
                <w:b/>
                <w:color w:val="1E293B"/>
                <w:sz w:val="20"/>
              </w:rPr>
              <w:t>Project Name</w:t>
            </w:r>
          </w:p>
        </w:tc>
        <w:tc>
          <w:tcPr>
            <w:tcW w:type="dxa" w:w="5760"/>
            <w:shd w:val="clear" w:color="auto" w:fill="F8FAFC"/>
            <w:tcMar>
              <w:top w:w="120" w:type="dxa"/>
              <w:bottom w:w="120" w:type="dxa"/>
              <w:left w:w="180" w:type="dxa"/>
              <w:right w:w="180" w:type="dxa"/>
            </w:tcMar>
          </w:tcPr>
          <w:p>
            <w:r>
              <w:rPr>
                <w:color w:val="334155"/>
                <w:sz w:val="20"/>
              </w:rPr>
              <w:t>SecEngine (Web Vulnerability &amp; Threat Detection Suite)</w:t>
            </w:r>
          </w:p>
        </w:tc>
      </w:tr>
      <w:tr>
        <w:tc>
          <w:tcPr>
            <w:tcW w:type="dxa" w:w="3600"/>
            <w:shd w:val="clear" w:color="auto" w:fill="F1F5F9"/>
            <w:tcMar>
              <w:top w:w="120" w:type="dxa"/>
              <w:bottom w:w="120" w:type="dxa"/>
              <w:left w:w="180" w:type="dxa"/>
              <w:right w:w="180" w:type="dxa"/>
            </w:tcMar>
          </w:tcPr>
          <w:p>
            <w:r>
              <w:rPr>
                <w:b/>
                <w:color w:val="1E293B"/>
                <w:sz w:val="20"/>
              </w:rPr>
              <w:t>Program / Internship</w:t>
            </w:r>
          </w:p>
        </w:tc>
        <w:tc>
          <w:tcPr>
            <w:tcW w:type="dxa" w:w="5760"/>
            <w:shd w:val="clear" w:color="auto" w:fill="F8FAFC"/>
            <w:tcMar>
              <w:top w:w="120" w:type="dxa"/>
              <w:bottom w:w="120" w:type="dxa"/>
              <w:left w:w="180" w:type="dxa"/>
              <w:right w:w="180" w:type="dxa"/>
            </w:tcMar>
          </w:tcPr>
          <w:p>
            <w:r>
              <w:rPr>
                <w:color w:val="334155"/>
                <w:sz w:val="20"/>
              </w:rPr>
              <w:t>IBM SkillsBuild Cyber Security 2026 (BharatCares)</w:t>
            </w:r>
          </w:p>
        </w:tc>
      </w:tr>
      <w:tr>
        <w:tc>
          <w:tcPr>
            <w:tcW w:type="dxa" w:w="3600"/>
            <w:shd w:val="clear" w:color="auto" w:fill="F1F5F9"/>
            <w:tcMar>
              <w:top w:w="120" w:type="dxa"/>
              <w:bottom w:w="120" w:type="dxa"/>
              <w:left w:w="180" w:type="dxa"/>
              <w:right w:w="180" w:type="dxa"/>
            </w:tcMar>
          </w:tcPr>
          <w:p>
            <w:r>
              <w:rPr>
                <w:b/>
                <w:color w:val="1E293B"/>
                <w:sz w:val="20"/>
              </w:rPr>
              <w:t>Technology Stack</w:t>
            </w:r>
          </w:p>
        </w:tc>
        <w:tc>
          <w:tcPr>
            <w:tcW w:type="dxa" w:w="5760"/>
            <w:shd w:val="clear" w:color="auto" w:fill="F8FAFC"/>
            <w:tcMar>
              <w:top w:w="120" w:type="dxa"/>
              <w:bottom w:w="120" w:type="dxa"/>
              <w:left w:w="180" w:type="dxa"/>
              <w:right w:w="180" w:type="dxa"/>
            </w:tcMar>
          </w:tcPr>
          <w:p>
            <w:r>
              <w:rPr>
                <w:color w:val="334155"/>
                <w:sz w:val="20"/>
              </w:rPr>
              <w:t>Python 3.10+, Flask, Requests, SSL/TLS Sockets, HTML5/CSS3/JS</w:t>
            </w:r>
          </w:p>
        </w:tc>
      </w:tr>
    </w:tbl>
    <w:p>
      <w:r>
        <w:br w:type="page"/>
      </w:r>
    </w:p>
    <w:p>
      <w:pPr>
        <w:spacing w:before="400" w:after="160"/>
      </w:pPr>
      <w:r>
        <w:rPr>
          <w:b/>
          <w:color w:val="0F172A"/>
          <w:sz w:val="36"/>
        </w:rPr>
        <w:t>1. Abstract</w:t>
      </w:r>
    </w:p>
    <w:p>
      <w:pPr>
        <w:spacing w:after="120" w:line="300" w:lineRule="auto"/>
      </w:pPr>
      <w:r>
        <w:rPr>
          <w:sz w:val="21"/>
        </w:rPr>
        <w:t>SecEngine is an enterprise-grade, browser-accessible cybersecurity intelligence platform designed to democratize web security assessment, phishing detection, and social engineering classification. The application bridges a critical gap in the security landscape: providing comprehensive, real-time security posture evaluation without demanding mandatory software installations, paid API keys, or user account registrations.</w:t>
      </w:r>
    </w:p>
    <w:p>
      <w:pPr>
        <w:spacing w:after="120" w:line="300" w:lineRule="auto"/>
      </w:pPr>
      <w:r>
        <w:rPr>
          <w:sz w:val="21"/>
        </w:rPr>
        <w:t>Built with a lightweight Python Flask backend and a modern client-side frontend, SecEngine incorporates three distinct operational security modules: (1) an OWASP-compliant HTTP Security Header Auditor with real-time SSL/TLS certificate probing, (2) a multi-heuristic Phishing URL Inspector detecting brand typosquatting, raw IP hosting, and suspicious top-level domains, and (3) a Natural Language Pattern-Matching Email/SMS Threat Scanner. SecEngine returns structured, actionable remediation guides alongside numeric risk metrics, empowering developers and everyday users to defend against modern cyber threats.</w:t>
      </w:r>
    </w:p>
    <w:tbl>
      <w:tblPr>
        <w:tblW w:type="auto" w:w="0"/>
        <w:jc w:val="center"/>
        <w:tblLook w:firstColumn="1" w:firstRow="1" w:lastColumn="0" w:lastRow="0" w:noHBand="0" w:noVBand="1" w:val="04A0"/>
      </w:tblPr>
      <w:tblGrid>
        <w:gridCol w:w="9360"/>
      </w:tblGrid>
      <w:tr>
        <w:tc>
          <w:tcPr>
            <w:tcW w:type="dxa" w:w="9360"/>
            <w:shd w:val="clear" w:color="auto" w:fill="F0F9FF"/>
            <w:tcMar>
              <w:top w:w="140" w:type="dxa"/>
              <w:bottom w:w="140" w:type="dxa"/>
              <w:left w:w="200" w:type="dxa"/>
              <w:right w:w="200" w:type="dxa"/>
            </w:tcMar>
          </w:tcPr>
          <w:p>
            <w:pPr>
              <w:spacing w:after="0"/>
            </w:pPr>
            <w:r>
              <w:rPr>
                <w:b/>
                <w:color w:val="0284C7"/>
                <w:sz w:val="20"/>
              </w:rPr>
              <w:t xml:space="preserve">[KEYWORDS] </w:t>
            </w:r>
            <w:r>
              <w:rPr>
                <w:color w:val="0369A1"/>
                <w:sz w:val="20"/>
              </w:rPr>
              <w:t>Keywords: Cybersecurity, OWASP Secure Headers, Phishing Detection, Heuristic Threat Analysis, SSL/TLS Inspection, Social Engineering, Python Flask, DevSecOps.</w:t>
            </w:r>
          </w:p>
        </w:tc>
      </w:tr>
    </w:tbl>
    <w:p>
      <w:pPr>
        <w:spacing w:after="120"/>
      </w:pPr>
    </w:p>
    <w:p>
      <w:pPr>
        <w:spacing w:before="400" w:after="160"/>
      </w:pPr>
      <w:r>
        <w:rPr>
          <w:b/>
          <w:color w:val="0F172A"/>
          <w:sz w:val="36"/>
        </w:rPr>
        <w:t>2. Introduction &amp; Problem Statement</w:t>
      </w:r>
    </w:p>
    <w:p>
      <w:pPr>
        <w:spacing w:before="280" w:after="120"/>
      </w:pPr>
      <w:r>
        <w:rPr>
          <w:b/>
          <w:color w:val="0369A1"/>
          <w:sz w:val="27"/>
        </w:rPr>
        <w:t>2.1 Background</w:t>
      </w:r>
    </w:p>
    <w:p>
      <w:pPr>
        <w:spacing w:after="120" w:line="300" w:lineRule="auto"/>
      </w:pPr>
      <w:r>
        <w:rPr>
          <w:sz w:val="21"/>
        </w:rPr>
        <w:t>In the modern digital ecosystem, web applications serve as the primary gateway for commerce, banking, communications, and sensitive data processing. However, a staggering majority of web servers remain misconfigured, lacking critical defensive HTTP headers that shield clients from Clickjacking, Cross-Site Scripting (XSS), and Man-in-the-Middle (MITM) attacks. Concurrently, phishing attacks and social engineering remain the leading attack vector globally, accounting for over 90% of organizational data breaches.</w:t>
      </w:r>
    </w:p>
    <w:p>
      <w:pPr>
        <w:spacing w:before="280" w:after="120"/>
      </w:pPr>
      <w:r>
        <w:rPr>
          <w:b/>
          <w:color w:val="0369A1"/>
          <w:sz w:val="27"/>
        </w:rPr>
        <w:t>2.2 Problem Statement</w:t>
      </w:r>
    </w:p>
    <w:p>
      <w:pPr>
        <w:spacing w:after="120" w:line="300" w:lineRule="auto"/>
      </w:pPr>
      <w:r>
        <w:rPr>
          <w:sz w:val="21"/>
        </w:rPr>
        <w:t>Existing cybersecurity auditing and vulnerability scanning tools face multiple barriers to adoption:</w:t>
      </w:r>
    </w:p>
    <w:p>
      <w:pPr>
        <w:spacing w:after="120" w:line="300" w:lineRule="auto"/>
      </w:pPr>
      <w:r>
        <w:rPr>
          <w:sz w:val="21"/>
        </w:rPr>
        <w:t>1. Accessibility Barrier: Commercial tools (e.g., Qualys, Nessus, Burp Suite Enterprise) are costly and require complex configuration, leaving students, independent developers, and small organizations vulnerable.</w:t>
      </w:r>
    </w:p>
    <w:p>
      <w:pPr>
        <w:spacing w:after="120" w:line="300" w:lineRule="auto"/>
      </w:pPr>
      <w:r>
        <w:rPr>
          <w:sz w:val="21"/>
        </w:rPr>
        <w:t>2. Fragmentation: Users typically have to consult different disconnected platforms to check SSL health, inspect suspicious links, and analyze social engineering emails.</w:t>
      </w:r>
    </w:p>
    <w:p>
      <w:pPr>
        <w:spacing w:after="120" w:line="300" w:lineRule="auto"/>
      </w:pPr>
      <w:r>
        <w:rPr>
          <w:sz w:val="21"/>
        </w:rPr>
        <w:t>3. Inactionable Outputs: Many security scanners output raw error logs without clear, copy-pasteable remediation directives for web server administrators (such as Nginx and Apache configuration directives).</w:t>
      </w:r>
    </w:p>
    <w:p>
      <w:pPr>
        <w:spacing w:before="280" w:after="120"/>
      </w:pPr>
      <w:r>
        <w:rPr>
          <w:b/>
          <w:color w:val="0369A1"/>
          <w:sz w:val="27"/>
        </w:rPr>
        <w:t>2.3 Proposed Solution</w:t>
      </w:r>
    </w:p>
    <w:p>
      <w:pPr>
        <w:spacing w:after="120" w:line="300" w:lineRule="auto"/>
      </w:pPr>
      <w:r>
        <w:rPr>
          <w:sz w:val="21"/>
        </w:rPr>
        <w:t>SecEngine resolves these challenges by delivering an all-in-one, free, browser-based cybersecurity workbench that audits websites, unpacks URL threat indicators, and parses deceptive phishing communications with sub-second execution speeds.</w:t>
      </w:r>
    </w:p>
    <w:p>
      <w:pPr>
        <w:spacing w:before="400" w:after="160"/>
      </w:pPr>
      <w:r>
        <w:rPr>
          <w:b/>
          <w:color w:val="0F172A"/>
          <w:sz w:val="36"/>
        </w:rPr>
        <w:t>3. Project Objectives</w:t>
      </w:r>
    </w:p>
    <w:p>
      <w:pPr>
        <w:spacing w:after="120" w:line="300" w:lineRule="auto"/>
      </w:pPr>
      <w:r>
        <w:rPr>
          <w:sz w:val="21"/>
        </w:rPr>
        <w:t>The primary technical and operational objectives of SecEngine include:</w:t>
      </w:r>
    </w:p>
    <w:p>
      <w:pPr>
        <w:spacing w:after="120" w:line="300" w:lineRule="auto"/>
      </w:pPr>
      <w:r>
        <w:rPr>
          <w:sz w:val="21"/>
        </w:rPr>
        <w:t>• Automated Header Auditing: Inspect six core OWASP security headers (HSTS, CSP, X-Frame-Options, X-Content-Type-Options, Referrer-Policy, Permissions-Policy) via live HTTP requests.</w:t>
      </w:r>
    </w:p>
    <w:p>
      <w:pPr>
        <w:spacing w:after="120" w:line="300" w:lineRule="auto"/>
      </w:pPr>
      <w:r>
        <w:rPr>
          <w:sz w:val="21"/>
        </w:rPr>
        <w:t>• Real-Time Cryptographic Validation: Probe port 443 of target hosts to extract X.509 certificate validity, issuer authority, expiration dates, and days remaining.</w:t>
      </w:r>
    </w:p>
    <w:p>
      <w:pPr>
        <w:spacing w:after="120" w:line="300" w:lineRule="auto"/>
      </w:pPr>
      <w:r>
        <w:rPr>
          <w:sz w:val="21"/>
        </w:rPr>
        <w:t>• Multi-Factor Phishing Detection: Analyze URLs for direct IP hosting, brand typosquatting against an official domain whitelist, high-risk TLDs, and path-based phishing keywords.</w:t>
      </w:r>
    </w:p>
    <w:p>
      <w:pPr>
        <w:spacing w:after="120" w:line="300" w:lineRule="auto"/>
      </w:pPr>
      <w:r>
        <w:rPr>
          <w:sz w:val="21"/>
        </w:rPr>
        <w:t>• Social Engineering Text Analysis: Classify email/SMS text into urgency triggers, financial lures, and credential harvesting tactics.</w:t>
      </w:r>
    </w:p>
    <w:p>
      <w:pPr>
        <w:spacing w:after="120" w:line="300" w:lineRule="auto"/>
      </w:pPr>
      <w:r>
        <w:rPr>
          <w:sz w:val="21"/>
        </w:rPr>
        <w:t>• Zero-Dependency Deployment: Utilize Python's native standard libraries (ssl, socket, re, datetime) to eliminate fragile external API dependencies.</w:t>
      </w:r>
    </w:p>
    <w:p>
      <w:pPr>
        <w:spacing w:after="120" w:line="300" w:lineRule="auto"/>
      </w:pPr>
      <w:r>
        <w:rPr>
          <w:sz w:val="21"/>
        </w:rPr>
        <w:t>• Automated Documentation Export: Provide professional one-click audit report generation for compliance and archiving.</w:t>
      </w:r>
    </w:p>
    <w:p>
      <w:pPr>
        <w:spacing w:before="400" w:after="160"/>
      </w:pPr>
      <w:r>
        <w:rPr>
          <w:b/>
          <w:color w:val="0F172A"/>
          <w:sz w:val="36"/>
        </w:rPr>
        <w:t>4. System Architecture &amp; Methodology</w:t>
      </w:r>
    </w:p>
    <w:p>
      <w:pPr>
        <w:spacing w:after="120" w:line="300" w:lineRule="auto"/>
      </w:pPr>
      <w:r>
        <w:rPr>
          <w:sz w:val="21"/>
        </w:rPr>
        <w:t>SecEngine employs a decoupled client-server architecture designed for high throughput, minimal latency, and zero persistent storage overhead:</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F172A"/>
          </w:tcPr>
          <w:p>
            <w:r>
              <w:rPr>
                <w:b/>
                <w:color w:val="FFFFFF"/>
                <w:sz w:val="19"/>
              </w:rPr>
              <w:t>Layer</w:t>
            </w:r>
          </w:p>
        </w:tc>
        <w:tc>
          <w:tcPr>
            <w:tcW w:type="dxa" w:w="3120"/>
            <w:shd w:val="clear" w:color="auto" w:fill="0F172A"/>
          </w:tcPr>
          <w:p>
            <w:r>
              <w:rPr>
                <w:b/>
                <w:color w:val="FFFFFF"/>
                <w:sz w:val="19"/>
              </w:rPr>
              <w:t>Technologies</w:t>
            </w:r>
          </w:p>
        </w:tc>
        <w:tc>
          <w:tcPr>
            <w:tcW w:type="dxa" w:w="3120"/>
            <w:shd w:val="clear" w:color="auto" w:fill="0F172A"/>
          </w:tcPr>
          <w:p>
            <w:r>
              <w:rPr>
                <w:b/>
                <w:color w:val="FFFFFF"/>
                <w:sz w:val="19"/>
              </w:rPr>
              <w:t>Functional Responsibilities</w:t>
            </w:r>
          </w:p>
        </w:tc>
      </w:tr>
      <w:tr>
        <w:tc>
          <w:tcPr>
            <w:tcW w:type="dxa" w:w="3120"/>
            <w:shd w:val="clear" w:color="auto" w:fill="F8FAFC"/>
            <w:tcMar>
              <w:top w:w="100" w:type="dxa"/>
              <w:bottom w:w="100" w:type="dxa"/>
              <w:left w:w="150" w:type="dxa"/>
              <w:right w:w="150" w:type="dxa"/>
            </w:tcMar>
          </w:tcPr>
          <w:p>
            <w:r>
              <w:rPr>
                <w:b/>
                <w:sz w:val="19"/>
              </w:rPr>
              <w:t>Presentation Layer</w:t>
            </w:r>
          </w:p>
        </w:tc>
        <w:tc>
          <w:tcPr>
            <w:tcW w:type="dxa" w:w="3120"/>
            <w:shd w:val="clear" w:color="auto" w:fill="F8FAFC"/>
            <w:tcMar>
              <w:top w:w="100" w:type="dxa"/>
              <w:bottom w:w="100" w:type="dxa"/>
              <w:left w:w="150" w:type="dxa"/>
              <w:right w:w="150" w:type="dxa"/>
            </w:tcMar>
          </w:tcPr>
          <w:p>
            <w:r>
              <w:rPr>
                <w:sz w:val="19"/>
              </w:rPr>
              <w:t>HTML5, CSS3, Vanilla JS, FontAwesome</w:t>
            </w:r>
          </w:p>
        </w:tc>
        <w:tc>
          <w:tcPr>
            <w:tcW w:type="dxa" w:w="3120"/>
            <w:shd w:val="clear" w:color="auto" w:fill="F8FAFC"/>
            <w:tcMar>
              <w:top w:w="100" w:type="dxa"/>
              <w:bottom w:w="100" w:type="dxa"/>
              <w:left w:w="150" w:type="dxa"/>
              <w:right w:w="150" w:type="dxa"/>
            </w:tcMar>
          </w:tcPr>
          <w:p>
            <w:r>
              <w:rPr>
                <w:sz w:val="19"/>
              </w:rPr>
              <w:t>Responsive Dark SOC interface, real-time AJAX dispatches, SVG score arcs, printable styling</w:t>
            </w:r>
          </w:p>
        </w:tc>
      </w:tr>
      <w:tr>
        <w:tc>
          <w:tcPr>
            <w:tcW w:type="dxa" w:w="3120"/>
            <w:shd w:val="clear" w:color="auto" w:fill="FFFFFF"/>
            <w:tcMar>
              <w:top w:w="100" w:type="dxa"/>
              <w:bottom w:w="100" w:type="dxa"/>
              <w:left w:w="150" w:type="dxa"/>
              <w:right w:w="150" w:type="dxa"/>
            </w:tcMar>
          </w:tcPr>
          <w:p>
            <w:r>
              <w:rPr>
                <w:b/>
                <w:sz w:val="19"/>
              </w:rPr>
              <w:t>Application Layer</w:t>
            </w:r>
          </w:p>
        </w:tc>
        <w:tc>
          <w:tcPr>
            <w:tcW w:type="dxa" w:w="3120"/>
            <w:shd w:val="clear" w:color="auto" w:fill="FFFFFF"/>
            <w:tcMar>
              <w:top w:w="100" w:type="dxa"/>
              <w:bottom w:w="100" w:type="dxa"/>
              <w:left w:w="150" w:type="dxa"/>
              <w:right w:w="150" w:type="dxa"/>
            </w:tcMar>
          </w:tcPr>
          <w:p>
            <w:r>
              <w:rPr>
                <w:sz w:val="19"/>
              </w:rPr>
              <w:t>Python 3.10+, Flask 2.3+</w:t>
            </w:r>
          </w:p>
        </w:tc>
        <w:tc>
          <w:tcPr>
            <w:tcW w:type="dxa" w:w="3120"/>
            <w:shd w:val="clear" w:color="auto" w:fill="FFFFFF"/>
            <w:tcMar>
              <w:top w:w="100" w:type="dxa"/>
              <w:bottom w:w="100" w:type="dxa"/>
              <w:left w:w="150" w:type="dxa"/>
              <w:right w:w="150" w:type="dxa"/>
            </w:tcMar>
          </w:tcPr>
          <w:p>
            <w:r>
              <w:rPr>
                <w:sz w:val="19"/>
              </w:rPr>
              <w:t>REST API request routing, URL sanitization, CORS handling, payload validation</w:t>
            </w:r>
          </w:p>
        </w:tc>
      </w:tr>
      <w:tr>
        <w:tc>
          <w:tcPr>
            <w:tcW w:type="dxa" w:w="3120"/>
            <w:shd w:val="clear" w:color="auto" w:fill="F8FAFC"/>
            <w:tcMar>
              <w:top w:w="100" w:type="dxa"/>
              <w:bottom w:w="100" w:type="dxa"/>
              <w:left w:w="150" w:type="dxa"/>
              <w:right w:w="150" w:type="dxa"/>
            </w:tcMar>
          </w:tcPr>
          <w:p>
            <w:r>
              <w:rPr>
                <w:b/>
                <w:sz w:val="19"/>
              </w:rPr>
              <w:t>Security Analysis Engine</w:t>
            </w:r>
          </w:p>
        </w:tc>
        <w:tc>
          <w:tcPr>
            <w:tcW w:type="dxa" w:w="3120"/>
            <w:shd w:val="clear" w:color="auto" w:fill="F8FAFC"/>
            <w:tcMar>
              <w:top w:w="100" w:type="dxa"/>
              <w:bottom w:w="100" w:type="dxa"/>
              <w:left w:w="150" w:type="dxa"/>
              <w:right w:w="150" w:type="dxa"/>
            </w:tcMar>
          </w:tcPr>
          <w:p>
            <w:r>
              <w:rPr>
                <w:sz w:val="19"/>
              </w:rPr>
              <w:t>Python socket, ssl, requests, re</w:t>
            </w:r>
          </w:p>
        </w:tc>
        <w:tc>
          <w:tcPr>
            <w:tcW w:type="dxa" w:w="3120"/>
            <w:shd w:val="clear" w:color="auto" w:fill="F8FAFC"/>
            <w:tcMar>
              <w:top w:w="100" w:type="dxa"/>
              <w:bottom w:w="100" w:type="dxa"/>
              <w:left w:w="150" w:type="dxa"/>
              <w:right w:w="150" w:type="dxa"/>
            </w:tcMar>
          </w:tcPr>
          <w:p>
            <w:r>
              <w:rPr>
                <w:sz w:val="19"/>
              </w:rPr>
              <w:t>Outbound HTTP probing, raw TLS handshakes, regex heuristics, scoring algorithms</w:t>
            </w:r>
          </w:p>
        </w:tc>
      </w:tr>
    </w:tbl>
    <w:p>
      <w:pPr>
        <w:spacing w:before="400" w:after="160"/>
      </w:pPr>
      <w:r>
        <w:rPr>
          <w:b/>
          <w:color w:val="0F172A"/>
          <w:sz w:val="36"/>
        </w:rPr>
        <w:t>5. Module-Wise Implementation</w:t>
      </w:r>
    </w:p>
    <w:p>
      <w:pPr>
        <w:spacing w:before="280" w:after="120"/>
      </w:pPr>
      <w:r>
        <w:rPr>
          <w:b/>
          <w:color w:val="0369A1"/>
          <w:sz w:val="27"/>
        </w:rPr>
        <w:t>5.1 Module 1: Web Security &amp; SSL Auditor (/api/scan-headers)</w:t>
      </w:r>
    </w:p>
    <w:p>
      <w:pPr>
        <w:spacing w:after="120" w:line="300" w:lineRule="auto"/>
      </w:pPr>
      <w:r>
        <w:rPr>
          <w:sz w:val="21"/>
        </w:rPr>
        <w:t>This endpoint accepts a target URL, normalizes it (ensuring valid protocol specification), dispatches a customized GET request with a 6-second timeout, and evaluates the presence of six essential security headers. Concurrently, it invokes an internal socket routine that connects directly to the server's TLS port (443) using Server Name Indication (SNI) to parse the X.509 certificate:</w:t>
      </w:r>
    </w:p>
    <w:p>
      <w:pPr>
        <w:spacing w:after="120" w:line="300" w:lineRule="auto"/>
      </w:pPr>
      <w:r>
        <w:rPr>
          <w:sz w:val="21"/>
        </w:rPr>
        <w:t>• Scoring Formula: Total 100 points. Each present security header awards +10 points (60 points maximum). A valid, non-expired SSL certificate awards +40 points.</w:t>
      </w:r>
    </w:p>
    <w:p>
      <w:pPr>
        <w:spacing w:after="120" w:line="300" w:lineRule="auto"/>
      </w:pPr>
      <w:r>
        <w:rPr>
          <w:sz w:val="21"/>
        </w:rPr>
        <w:t>• Grading Scale: Grade A+ (90–100%), Grade A (80–89%), Grade B (70–79%), Grade C (60–69%), Grade D (50–59%), Grade F (&lt;50%).</w:t>
      </w:r>
    </w:p>
    <w:p>
      <w:pPr>
        <w:spacing w:after="120" w:line="300" w:lineRule="auto"/>
      </w:pPr>
      <w:r>
        <w:rPr>
          <w:sz w:val="21"/>
        </w:rPr>
        <w:t>• Actionable Remediation: For every absent header, the response includes exact configuration directives for both Nginx ('add_header ...') and Apache web servers.</w:t>
      </w:r>
    </w:p>
    <w:p>
      <w:pPr>
        <w:spacing w:before="280" w:after="120"/>
      </w:pPr>
      <w:r>
        <w:rPr>
          <w:b/>
          <w:color w:val="0369A1"/>
          <w:sz w:val="27"/>
        </w:rPr>
        <w:t>5.2 Module 2: Phishing URL Inspector (/api/scan-phishing-url)</w:t>
      </w:r>
    </w:p>
    <w:p>
      <w:pPr>
        <w:spacing w:after="120" w:line="300" w:lineRule="auto"/>
      </w:pPr>
      <w:r>
        <w:rPr>
          <w:sz w:val="21"/>
        </w:rPr>
        <w:t>This module evaluates links using a weighted multi-heuristic model without initiating connections to malicious infrastructure:</w:t>
      </w:r>
    </w:p>
    <w:p>
      <w:pPr>
        <w:spacing w:after="120" w:line="300" w:lineRule="auto"/>
      </w:pPr>
      <w:r>
        <w:rPr>
          <w:sz w:val="21"/>
        </w:rPr>
        <w:t>1. Raw IP Hostname: Flags URLs utilizing dotted-decimal IPv4 addresses (+35 risk points).</w:t>
      </w:r>
    </w:p>
    <w:p>
      <w:pPr>
        <w:spacing w:after="120" w:line="300" w:lineRule="auto"/>
      </w:pPr>
      <w:r>
        <w:rPr>
          <w:sz w:val="21"/>
        </w:rPr>
        <w:t>2. Brand Impersonation: Employs an official domain whitelist (e.g., google.com, paypal.com, sbi.co.in) to flag unauthorized use of high-value brand names in rogue domains (+40 risk points).</w:t>
      </w:r>
    </w:p>
    <w:p>
      <w:pPr>
        <w:spacing w:after="120" w:line="300" w:lineRule="auto"/>
      </w:pPr>
      <w:r>
        <w:rPr>
          <w:sz w:val="21"/>
        </w:rPr>
        <w:t>3. High-Risk TLDs: Matches hostnames against known abuse top-level domains (.xyz, .top, .tk, .work, .loan, .click, .fit, .gq) (+25 risk points).</w:t>
      </w:r>
    </w:p>
    <w:p>
      <w:pPr>
        <w:spacing w:after="120" w:line="300" w:lineRule="auto"/>
      </w:pPr>
      <w:r>
        <w:rPr>
          <w:sz w:val="21"/>
        </w:rPr>
        <w:t>4. Phishing Path Keywords: Detects deceptive path components including 'login', 'verify', 'kyc', 'banking', 'secure', 'account' (+20 risk points).</w:t>
      </w:r>
    </w:p>
    <w:p>
      <w:pPr>
        <w:spacing w:after="120" w:line="300" w:lineRule="auto"/>
      </w:pPr>
      <w:r>
        <w:rPr>
          <w:sz w:val="21"/>
        </w:rPr>
        <w:t>5. Structural Anomalies: Inspects URLs for '@' credential symbols, multiple hyphens (&gt;=2), and excessive subdomain levels (&gt;=3 dots) (+15 risk points).</w:t>
      </w:r>
    </w:p>
    <w:p>
      <w:pPr>
        <w:spacing w:before="280" w:after="120"/>
      </w:pPr>
      <w:r>
        <w:rPr>
          <w:b/>
          <w:color w:val="0369A1"/>
          <w:sz w:val="27"/>
        </w:rPr>
        <w:t>5.3 Module 3: Social Engineering Message Scanner (/api/scan-phishing-text)</w:t>
      </w:r>
    </w:p>
    <w:p>
      <w:pPr>
        <w:spacing w:after="120" w:line="300" w:lineRule="auto"/>
      </w:pPr>
      <w:r>
        <w:rPr>
          <w:sz w:val="21"/>
        </w:rPr>
        <w:t>This module applies rapid phrase-based natural language pattern matching to classify deceptive communications:</w:t>
      </w:r>
    </w:p>
    <w:p>
      <w:pPr>
        <w:spacing w:after="120" w:line="300" w:lineRule="auto"/>
      </w:pPr>
      <w:r>
        <w:rPr>
          <w:sz w:val="21"/>
        </w:rPr>
        <w:t>• Urgency / Panic Triggers (+30): Phrases such as 'account suspended', '24 hours', 'immediate action required', 'blocked'.</w:t>
      </w:r>
    </w:p>
    <w:p>
      <w:pPr>
        <w:spacing w:after="120" w:line="300" w:lineRule="auto"/>
      </w:pPr>
      <w:r>
        <w:rPr>
          <w:sz w:val="21"/>
        </w:rPr>
        <w:t>• Financial Lures (+30): Phrases such as 'lottery won', 'cashback reward', 'unclaimed refund', 'crypto bonus'.</w:t>
      </w:r>
    </w:p>
    <w:p>
      <w:pPr>
        <w:spacing w:after="120" w:line="300" w:lineRule="auto"/>
      </w:pPr>
      <w:r>
        <w:rPr>
          <w:sz w:val="21"/>
        </w:rPr>
        <w:t>• Credential Harvesting (+40): Demands for 'enter OTP', 'share password', 'verify PIN', 'update KYC', 'CVV'.</w:t>
      </w:r>
    </w:p>
    <w:p>
      <w:pPr>
        <w:spacing w:after="120" w:line="300" w:lineRule="auto"/>
      </w:pPr>
      <w:r>
        <w:rPr>
          <w:sz w:val="21"/>
        </w:rPr>
        <w:t>• Obfuscated Links (+20): Extracts and flags URL shorteners (bit.ly, tinyurl.com, t.co, is.gd).</w:t>
      </w:r>
    </w:p>
    <w:p>
      <w:pPr>
        <w:spacing w:before="400" w:after="160"/>
      </w:pPr>
      <w:r>
        <w:rPr>
          <w:b/>
          <w:color w:val="0F172A"/>
          <w:sz w:val="36"/>
        </w:rPr>
        <w:t>6. Datasets &amp; Reference Corpora</w:t>
      </w:r>
    </w:p>
    <w:p>
      <w:pPr>
        <w:spacing w:after="120" w:line="300" w:lineRule="auto"/>
      </w:pPr>
      <w:r>
        <w:rPr>
          <w:sz w:val="21"/>
        </w:rPr>
        <w:t>SecEngine leverages structured cybersecurity reference datasets and corpora integrated directly within the project repository under the datasets/ directory:</w:t>
      </w:r>
    </w:p>
    <w:p>
      <w:pPr>
        <w:spacing w:after="120" w:line="300" w:lineRule="auto"/>
      </w:pPr>
      <w:r>
        <w:rPr>
          <w:sz w:val="21"/>
        </w:rPr>
        <w:t>1. OWASP Secure Headers Dataset: Derived from the OWASP Secure Headers Project (RFC 6797, RFC 7034, W3C CSP Level 3) outlining required security headers, threat models, and server configuration syntax.</w:t>
      </w:r>
    </w:p>
    <w:p>
      <w:pPr>
        <w:spacing w:after="120" w:line="300" w:lineRule="auto"/>
      </w:pPr>
      <w:r>
        <w:rPr>
          <w:sz w:val="21"/>
        </w:rPr>
        <w:t>2. Phishing URL Threat Corpus (datasets/sample_phishing_urls.json): A verified benchmark of 100+ benign and malicious URLs spanning brand typosquatting, raw IP hosting, and multi-subdomain phishing attacks.</w:t>
      </w:r>
    </w:p>
    <w:p>
      <w:pPr>
        <w:spacing w:after="120" w:line="300" w:lineRule="auto"/>
      </w:pPr>
      <w:r>
        <w:rPr>
          <w:sz w:val="21"/>
        </w:rPr>
        <w:t>3. Social Engineering Indicators Corpus (datasets/sample_phishing_messages.json): A curated dataset of real-world SMS and email phishing templates categorized by psychological triggers (Urgency, Greed, Authority, Fear).</w:t>
      </w:r>
    </w:p>
    <w:p>
      <w:pPr>
        <w:spacing w:before="400" w:after="160"/>
      </w:pPr>
      <w:r>
        <w:rPr>
          <w:b/>
          <w:color w:val="0F172A"/>
          <w:sz w:val="36"/>
        </w:rPr>
        <w:t>7. Testing &amp; Verification</w:t>
      </w:r>
    </w:p>
    <w:p>
      <w:pPr>
        <w:spacing w:after="120" w:line="300" w:lineRule="auto"/>
      </w:pPr>
      <w:r>
        <w:rPr>
          <w:sz w:val="21"/>
        </w:rPr>
        <w:t>SecEngine underwent comprehensive testing across real-world domains and simulated attack scenarios: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0F172A"/>
          </w:tcPr>
          <w:p>
            <w:r>
              <w:rPr>
                <w:b/>
                <w:color w:val="FFFFFF"/>
                <w:sz w:val="19"/>
              </w:rPr>
              <w:t>Target / Input</w:t>
            </w:r>
          </w:p>
        </w:tc>
        <w:tc>
          <w:tcPr>
            <w:tcW w:type="dxa" w:w="2340"/>
            <w:shd w:val="clear" w:color="auto" w:fill="0F172A"/>
          </w:tcPr>
          <w:p>
            <w:r>
              <w:rPr>
                <w:b/>
                <w:color w:val="FFFFFF"/>
                <w:sz w:val="19"/>
              </w:rPr>
              <w:t>Category</w:t>
            </w:r>
          </w:p>
        </w:tc>
        <w:tc>
          <w:tcPr>
            <w:tcW w:type="dxa" w:w="2340"/>
            <w:shd w:val="clear" w:color="auto" w:fill="0F172A"/>
          </w:tcPr>
          <w:p>
            <w:r>
              <w:rPr>
                <w:b/>
                <w:color w:val="FFFFFF"/>
                <w:sz w:val="19"/>
              </w:rPr>
              <w:t>Score / Risk</w:t>
            </w:r>
          </w:p>
        </w:tc>
        <w:tc>
          <w:tcPr>
            <w:tcW w:type="dxa" w:w="2340"/>
            <w:shd w:val="clear" w:color="auto" w:fill="0F172A"/>
          </w:tcPr>
          <w:p>
            <w:r>
              <w:rPr>
                <w:b/>
                <w:color w:val="FFFFFF"/>
                <w:sz w:val="19"/>
              </w:rPr>
              <w:t>Observed Outcome</w:t>
            </w:r>
          </w:p>
        </w:tc>
      </w:tr>
      <w:tr>
        <w:tc>
          <w:tcPr>
            <w:tcW w:type="dxa" w:w="2340"/>
            <w:shd w:val="clear" w:color="auto" w:fill="F8FAFC"/>
            <w:tcMar>
              <w:top w:w="100" w:type="dxa"/>
              <w:bottom w:w="100" w:type="dxa"/>
              <w:left w:w="150" w:type="dxa"/>
              <w:right w:w="150" w:type="dxa"/>
            </w:tcMar>
          </w:tcPr>
          <w:p>
            <w:r>
              <w:rPr>
                <w:sz w:val="19"/>
              </w:rPr>
              <w:t>cloudflare.com</w:t>
            </w:r>
          </w:p>
        </w:tc>
        <w:tc>
          <w:tcPr>
            <w:tcW w:type="dxa" w:w="2340"/>
            <w:shd w:val="clear" w:color="auto" w:fill="F8FAFC"/>
            <w:tcMar>
              <w:top w:w="100" w:type="dxa"/>
              <w:bottom w:w="100" w:type="dxa"/>
              <w:left w:w="150" w:type="dxa"/>
              <w:right w:w="150" w:type="dxa"/>
            </w:tcMar>
          </w:tcPr>
          <w:p>
            <w:r>
              <w:rPr>
                <w:sz w:val="19"/>
              </w:rPr>
              <w:t>Web Security Audit</w:t>
            </w:r>
          </w:p>
        </w:tc>
        <w:tc>
          <w:tcPr>
            <w:tcW w:type="dxa" w:w="2340"/>
            <w:shd w:val="clear" w:color="auto" w:fill="F8FAFC"/>
            <w:tcMar>
              <w:top w:w="100" w:type="dxa"/>
              <w:bottom w:w="100" w:type="dxa"/>
              <w:left w:w="150" w:type="dxa"/>
              <w:right w:w="150" w:type="dxa"/>
            </w:tcMar>
          </w:tcPr>
          <w:p>
            <w:r>
              <w:rPr>
                <w:b/>
                <w:sz w:val="19"/>
              </w:rPr>
              <w:t>100/100 (Grade A+)</w:t>
            </w:r>
          </w:p>
        </w:tc>
        <w:tc>
          <w:tcPr>
            <w:tcW w:type="dxa" w:w="2340"/>
            <w:shd w:val="clear" w:color="auto" w:fill="F8FAFC"/>
            <w:tcMar>
              <w:top w:w="100" w:type="dxa"/>
              <w:bottom w:w="100" w:type="dxa"/>
              <w:left w:w="150" w:type="dxa"/>
              <w:right w:w="150" w:type="dxa"/>
            </w:tcMar>
          </w:tcPr>
          <w:p>
            <w:r>
              <w:rPr>
                <w:sz w:val="19"/>
              </w:rPr>
              <w:t>All 6 security headers present; TLS certificate valid.</w:t>
            </w:r>
          </w:p>
        </w:tc>
      </w:tr>
      <w:tr>
        <w:tc>
          <w:tcPr>
            <w:tcW w:type="dxa" w:w="2340"/>
            <w:shd w:val="clear" w:color="auto" w:fill="FFFFFF"/>
            <w:tcMar>
              <w:top w:w="100" w:type="dxa"/>
              <w:bottom w:w="100" w:type="dxa"/>
              <w:left w:w="150" w:type="dxa"/>
              <w:right w:w="150" w:type="dxa"/>
            </w:tcMar>
          </w:tcPr>
          <w:p>
            <w:r>
              <w:rPr>
                <w:sz w:val="19"/>
              </w:rPr>
              <w:t>google.com</w:t>
            </w:r>
          </w:p>
        </w:tc>
        <w:tc>
          <w:tcPr>
            <w:tcW w:type="dxa" w:w="2340"/>
            <w:shd w:val="clear" w:color="auto" w:fill="FFFFFF"/>
            <w:tcMar>
              <w:top w:w="100" w:type="dxa"/>
              <w:bottom w:w="100" w:type="dxa"/>
              <w:left w:w="150" w:type="dxa"/>
              <w:right w:w="150" w:type="dxa"/>
            </w:tcMar>
          </w:tcPr>
          <w:p>
            <w:r>
              <w:rPr>
                <w:sz w:val="19"/>
              </w:rPr>
              <w:t>Web Security Audit</w:t>
            </w:r>
          </w:p>
        </w:tc>
        <w:tc>
          <w:tcPr>
            <w:tcW w:type="dxa" w:w="2340"/>
            <w:shd w:val="clear" w:color="auto" w:fill="FFFFFF"/>
            <w:tcMar>
              <w:top w:w="100" w:type="dxa"/>
              <w:bottom w:w="100" w:type="dxa"/>
              <w:left w:w="150" w:type="dxa"/>
              <w:right w:w="150" w:type="dxa"/>
            </w:tcMar>
          </w:tcPr>
          <w:p>
            <w:r>
              <w:rPr>
                <w:b/>
                <w:sz w:val="19"/>
              </w:rPr>
              <w:t>50/100 (Grade D)</w:t>
            </w:r>
          </w:p>
        </w:tc>
        <w:tc>
          <w:tcPr>
            <w:tcW w:type="dxa" w:w="2340"/>
            <w:shd w:val="clear" w:color="auto" w:fill="FFFFFF"/>
            <w:tcMar>
              <w:top w:w="100" w:type="dxa"/>
              <w:bottom w:w="100" w:type="dxa"/>
              <w:left w:w="150" w:type="dxa"/>
              <w:right w:w="150" w:type="dxa"/>
            </w:tcMar>
          </w:tcPr>
          <w:p>
            <w:r>
              <w:rPr>
                <w:sz w:val="19"/>
              </w:rPr>
              <w:t>Valid TLS certificate; X-Frame-Options present; CSP/HSTS omitted on root domain for legacy compatibility.</w:t>
            </w:r>
          </w:p>
        </w:tc>
      </w:tr>
      <w:tr>
        <w:tc>
          <w:tcPr>
            <w:tcW w:type="dxa" w:w="2340"/>
            <w:shd w:val="clear" w:color="auto" w:fill="F8FAFC"/>
            <w:tcMar>
              <w:top w:w="100" w:type="dxa"/>
              <w:bottom w:w="100" w:type="dxa"/>
              <w:left w:w="150" w:type="dxa"/>
              <w:right w:w="150" w:type="dxa"/>
            </w:tcMar>
          </w:tcPr>
          <w:p>
            <w:r>
              <w:rPr>
                <w:sz w:val="19"/>
              </w:rPr>
              <w:t>http://google-security-login.xyz</w:t>
            </w:r>
          </w:p>
        </w:tc>
        <w:tc>
          <w:tcPr>
            <w:tcW w:type="dxa" w:w="2340"/>
            <w:shd w:val="clear" w:color="auto" w:fill="F8FAFC"/>
            <w:tcMar>
              <w:top w:w="100" w:type="dxa"/>
              <w:bottom w:w="100" w:type="dxa"/>
              <w:left w:w="150" w:type="dxa"/>
              <w:right w:w="150" w:type="dxa"/>
            </w:tcMar>
          </w:tcPr>
          <w:p>
            <w:r>
              <w:rPr>
                <w:sz w:val="19"/>
              </w:rPr>
              <w:t>Phishing URL Inspector</w:t>
            </w:r>
          </w:p>
        </w:tc>
        <w:tc>
          <w:tcPr>
            <w:tcW w:type="dxa" w:w="2340"/>
            <w:shd w:val="clear" w:color="auto" w:fill="F8FAFC"/>
            <w:tcMar>
              <w:top w:w="100" w:type="dxa"/>
              <w:bottom w:w="100" w:type="dxa"/>
              <w:left w:w="150" w:type="dxa"/>
              <w:right w:w="150" w:type="dxa"/>
            </w:tcMar>
          </w:tcPr>
          <w:p>
            <w:r>
              <w:rPr>
                <w:b/>
                <w:sz w:val="19"/>
              </w:rPr>
              <w:t>100% (CRITICAL)</w:t>
            </w:r>
          </w:p>
        </w:tc>
        <w:tc>
          <w:tcPr>
            <w:tcW w:type="dxa" w:w="2340"/>
            <w:shd w:val="clear" w:color="auto" w:fill="F8FAFC"/>
            <w:tcMar>
              <w:top w:w="100" w:type="dxa"/>
              <w:bottom w:w="100" w:type="dxa"/>
              <w:left w:w="150" w:type="dxa"/>
              <w:right w:w="150" w:type="dxa"/>
            </w:tcMar>
          </w:tcPr>
          <w:p>
            <w:r>
              <w:rPr>
                <w:sz w:val="19"/>
              </w:rPr>
              <w:t>Flagged: Brand impersonation, Suspicious .xyz TLD, Phishing keyword 'login', Multiple hyphens.</w:t>
            </w:r>
          </w:p>
        </w:tc>
      </w:tr>
      <w:tr>
        <w:tc>
          <w:tcPr>
            <w:tcW w:type="dxa" w:w="2340"/>
            <w:shd w:val="clear" w:color="auto" w:fill="FFFFFF"/>
            <w:tcMar>
              <w:top w:w="100" w:type="dxa"/>
              <w:bottom w:w="100" w:type="dxa"/>
              <w:left w:w="150" w:type="dxa"/>
              <w:right w:w="150" w:type="dxa"/>
            </w:tcMar>
          </w:tcPr>
          <w:p>
            <w:r>
              <w:rPr>
                <w:sz w:val="19"/>
              </w:rPr>
              <w:t>SBI Alert: KYC Expired. Click bit.ly/x to update immediately.</w:t>
            </w:r>
          </w:p>
        </w:tc>
        <w:tc>
          <w:tcPr>
            <w:tcW w:type="dxa" w:w="2340"/>
            <w:shd w:val="clear" w:color="auto" w:fill="FFFFFF"/>
            <w:tcMar>
              <w:top w:w="100" w:type="dxa"/>
              <w:bottom w:w="100" w:type="dxa"/>
              <w:left w:w="150" w:type="dxa"/>
              <w:right w:w="150" w:type="dxa"/>
            </w:tcMar>
          </w:tcPr>
          <w:p>
            <w:r>
              <w:rPr>
                <w:sz w:val="19"/>
              </w:rPr>
              <w:t>Message Threat Scanner</w:t>
            </w:r>
          </w:p>
        </w:tc>
        <w:tc>
          <w:tcPr>
            <w:tcW w:type="dxa" w:w="2340"/>
            <w:shd w:val="clear" w:color="auto" w:fill="FFFFFF"/>
            <w:tcMar>
              <w:top w:w="100" w:type="dxa"/>
              <w:bottom w:w="100" w:type="dxa"/>
              <w:left w:w="150" w:type="dxa"/>
              <w:right w:w="150" w:type="dxa"/>
            </w:tcMar>
          </w:tcPr>
          <w:p>
            <w:r>
              <w:rPr>
                <w:b/>
                <w:sz w:val="19"/>
              </w:rPr>
              <w:t>90% (HIGH RISK)</w:t>
            </w:r>
          </w:p>
        </w:tc>
        <w:tc>
          <w:tcPr>
            <w:tcW w:type="dxa" w:w="2340"/>
            <w:shd w:val="clear" w:color="auto" w:fill="FFFFFF"/>
            <w:tcMar>
              <w:top w:w="100" w:type="dxa"/>
              <w:bottom w:w="100" w:type="dxa"/>
              <w:left w:w="150" w:type="dxa"/>
              <w:right w:w="150" w:type="dxa"/>
            </w:tcMar>
          </w:tcPr>
          <w:p>
            <w:r>
              <w:rPr>
                <w:sz w:val="19"/>
              </w:rPr>
              <w:t>Flagged: Urgency ('immediately'), Credential Harvesting ('KYC Expired'), Shortened Link ('bit.ly').</w:t>
            </w:r>
          </w:p>
        </w:tc>
      </w:tr>
    </w:tbl>
    <w:p>
      <w:pPr>
        <w:spacing w:before="400" w:after="160"/>
      </w:pPr>
      <w:r>
        <w:rPr>
          <w:b/>
          <w:color w:val="0F172A"/>
          <w:sz w:val="36"/>
        </w:rPr>
        <w:t>8. Conclusion &amp; Future Enhancements</w:t>
      </w:r>
    </w:p>
    <w:p>
      <w:pPr>
        <w:spacing w:after="120" w:line="300" w:lineRule="auto"/>
      </w:pPr>
      <w:r>
        <w:rPr>
          <w:sz w:val="21"/>
        </w:rPr>
        <w:t>SecEngine demonstrates that high-utility cybersecurity auditing can be deployed as a fast, zero-cost, and dependency-light web application. By adhering strictly to OWASP guidelines and robust heuristic classification, it provides immediate situational awareness for both website operators and internet consumers.</w:t>
      </w:r>
    </w:p>
    <w:p>
      <w:pPr>
        <w:spacing w:after="120" w:line="300" w:lineRule="auto"/>
      </w:pPr>
      <w:r>
        <w:rPr>
          <w:sz w:val="21"/>
        </w:rPr>
        <w:t>Future enhancements planned for SecEngine include integrating Machine Learning classifiers (such as Random Forest or BERT models) trained on PhishTank and OpenPhish feeds, establishing persistent scan history via SQLite/PostgreSQL, and providing automated CI/CD pipeline plugins that fail builds when web security scores fall below enterprise thresholds.</w:t>
      </w:r>
    </w:p>
    <w:p>
      <w:pPr>
        <w:spacing w:before="400" w:after="160"/>
      </w:pPr>
      <w:r>
        <w:rPr>
          <w:b/>
          <w:color w:val="0F172A"/>
          <w:sz w:val="36"/>
        </w:rPr>
        <w:t>9. References</w:t>
      </w:r>
    </w:p>
    <w:p>
      <w:pPr>
        <w:spacing w:after="120" w:line="300" w:lineRule="auto"/>
      </w:pPr>
      <w:r>
        <w:rPr>
          <w:sz w:val="21"/>
        </w:rPr>
        <w:t>1. OWASP Foundation. (2024). OWASP Secure Headers Project. https://owasp.org/www-project-secure-headers/</w:t>
      </w:r>
    </w:p>
    <w:p>
      <w:pPr>
        <w:spacing w:after="120" w:line="300" w:lineRule="auto"/>
      </w:pPr>
      <w:r>
        <w:rPr>
          <w:sz w:val="21"/>
        </w:rPr>
        <w:t>2. Mozilla Developer Network. (2024). HTTP Security Headers Reference. https://developer.mozilla.org/</w:t>
      </w:r>
    </w:p>
    <w:p>
      <w:pPr>
        <w:spacing w:after="120" w:line="300" w:lineRule="auto"/>
      </w:pPr>
      <w:r>
        <w:rPr>
          <w:sz w:val="21"/>
        </w:rPr>
        <w:t>3. Internet Engineering Task Force. (2012). RFC 6797: HTTP Strict Transport Security (HSTS). https://datatracker.ietf.org/doc/html/rfc6797</w:t>
      </w:r>
    </w:p>
    <w:p>
      <w:pPr>
        <w:spacing w:after="120" w:line="300" w:lineRule="auto"/>
      </w:pPr>
      <w:r>
        <w:rPr>
          <w:sz w:val="21"/>
        </w:rPr>
        <w:t>4. MITRE ATT&amp;CK Framework. (2024). Technique T1566: Phishing. https://attack.mitre.org/techniques/T1566/</w:t>
      </w:r>
    </w:p>
    <w:p>
      <w:pPr>
        <w:spacing w:after="120" w:line="300" w:lineRule="auto"/>
      </w:pPr>
      <w:r>
        <w:rPr>
          <w:sz w:val="21"/>
        </w:rPr>
        <w:t>5. Pallets Projects. (2024). Flask Web Framework Documentation. https://flask.palletsprojects.com/</w:t>
      </w:r>
    </w:p>
    <w:p>
      <w:pPr>
        <w:spacing w:after="120" w:line="300" w:lineRule="auto"/>
      </w:pPr>
      <w:r>
        <w:rPr>
          <w:sz w:val="21"/>
        </w:rPr>
        <w:t>6. Anti-Phishing Working Group (APWG). (2024). Phishing Activity Trends Report Q4 2024.</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