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100"/>
        <w:jc w:val="center"/>
      </w:pPr>
      <w:r>
        <w:rPr>
          <w:rFonts w:ascii="Noto Serif" w:hAnsi="Noto Serif" w:eastAsia="Noto Serif"/>
          <w:b/>
          <w:color w:val="1D2A30"/>
          <w:sz w:val="62"/>
        </w:rPr>
        <w:t>SOCIETATEA</w:t>
        <w:br/>
        <w:t>CARE NE SELECTEAZĂ</w:t>
      </w:r>
    </w:p>
    <w:p>
      <w:pPr>
        <w:widowControl/>
        <w:spacing w:before="240"/>
        <w:jc w:val="center"/>
      </w:pPr>
      <w:r>
        <w:rPr>
          <w:rFonts w:ascii="Noto Serif" w:hAnsi="Noto Serif" w:eastAsia="Noto Serif"/>
          <w:i/>
          <w:color w:val="4E4E4E"/>
          <w:sz w:val="28"/>
        </w:rPr>
        <w:t>Fertilitate, personalitate și viitorurile umane</w:t>
        <w:br/>
        <w:t>pe care le construim fără să ne dăm seama</w:t>
      </w:r>
    </w:p>
    <w:p>
      <w:pPr>
        <w:widowControl/>
        <w:spacing w:before="960"/>
        <w:jc w:val="center"/>
      </w:pPr>
      <w:r>
        <w:rPr>
          <w:rFonts w:ascii="Noto Sans" w:hAnsi="Noto Sans" w:eastAsia="Noto Sans"/>
          <w:color w:val="5F5F5F"/>
          <w:sz w:val="19"/>
        </w:rPr>
        <w:t>O investigație științifică și filosofică despre selecție, cultură, urbanizare și viitorul societății</w:t>
      </w:r>
    </w:p>
    <w:p>
      <w:pPr>
        <w:widowControl/>
      </w:pPr>
      <w:r>
        <w:br w:type="page"/>
      </w:r>
    </w:p>
    <w:p>
      <w:pPr>
        <w:widowControl/>
        <w:spacing w:before="1400"/>
      </w:pPr>
      <w:r>
        <w:rPr>
          <w:rFonts w:ascii="Noto Sans" w:hAnsi="Noto Sans" w:eastAsia="Noto Sans"/>
          <w:b/>
          <w:color w:val="5A5A5A"/>
          <w:sz w:val="18"/>
        </w:rPr>
        <w:t>NOTĂ PENTRU CITITOR</w:t>
      </w:r>
    </w:p>
    <w:p>
      <w:pPr>
        <w:widowControl/>
        <w:spacing w:after="124" w:line="264" w:lineRule="auto"/>
      </w:pPr>
      <w:r>
        <w:rPr>
          <w:rFonts w:ascii="Noto Serif" w:hAnsi="Noto Serif" w:eastAsia="Noto Serif"/>
          <w:sz w:val="20"/>
        </w:rPr>
        <w:t>Această carte este un eseu bazat pe literatură științifică, nu un argument pentru eugenie și nu o clasificare morală a populațiilor. Întrebarea dacă societățile creează presiuni selective este legitimă științific; răspunsul devine însă rapid greșit dacă transformăm medii statistice în esențe ale popoarelor, confundăm corelația culturală cu genetica sau tratăm diagnosticele psihice drept identități evolutive.</w:t>
      </w:r>
    </w:p>
    <w:p>
      <w:pPr>
        <w:widowControl/>
        <w:spacing w:after="124" w:line="264" w:lineRule="auto"/>
      </w:pPr>
      <w:r>
        <w:rPr>
          <w:rFonts w:ascii="Noto Serif" w:hAnsi="Noto Serif" w:eastAsia="Noto Serif"/>
          <w:sz w:val="20"/>
        </w:rPr>
        <w:t>Prin „selecție” vom distinge patru fenomene: selecție genetică, atunci când variația ereditară covariază cu succesul reproductiv; selecție culturală, când idei și norme se răspândesc diferențial; filtrare socială, când instituțiile atrag sau resping anumite profiluri fără a le modifica frecvența genetică; și selecție demografică, atunci când subgrupuri cu fertilități diferite își schimbă ponderea. Aceste mecanisme se pot combina, dar nu sunt sinonime.</w:t>
      </w:r>
    </w:p>
    <w:p>
      <w:pPr>
        <w:widowControl/>
        <w:spacing w:after="124" w:line="264" w:lineRule="auto"/>
      </w:pPr>
      <w:r>
        <w:rPr>
          <w:rFonts w:ascii="Noto Serif" w:hAnsi="Noto Serif" w:eastAsia="Noto Serif"/>
          <w:sz w:val="20"/>
        </w:rPr>
        <w:t>Când comparăm China, India, Europa, comunități indigene sau populații urbane și rurale, accentul cade pe instituții, ecologie, norme, migrație și măsurare. „Vârsta unei civilizații” nu este o variabilă biologică bine definită. În interiorul oricărei populații variația individuală este mare, iar comparațiile de medii culturale trebuie tratate cu prudență.</w:t>
      </w:r>
    </w:p>
    <w:p>
      <w:pPr>
        <w:widowControl/>
      </w:pPr>
      <w:r>
        <w:br w:type="page"/>
      </w:r>
    </w:p>
    <w:p>
      <w:pPr>
        <w:widowControl/>
        <w:spacing w:before="500"/>
      </w:pPr>
      <w:r>
        <w:rPr>
          <w:rFonts w:ascii="Noto Sans" w:hAnsi="Noto Sans" w:eastAsia="Noto Sans"/>
          <w:b/>
          <w:color w:val="646464"/>
          <w:sz w:val="20"/>
        </w:rPr>
        <w:t>PREFAȚĂ</w:t>
      </w:r>
    </w:p>
    <w:p>
      <w:pPr>
        <w:widowControl/>
      </w:pPr>
      <w:r>
        <w:rPr>
          <w:rFonts w:ascii="Noto Serif" w:hAnsi="Noto Serif" w:eastAsia="Noto Serif"/>
          <w:b/>
          <w:color w:val="1F2C32"/>
          <w:sz w:val="48"/>
        </w:rPr>
        <w:t>Întrebarea pe care nu o putem evita</w:t>
      </w:r>
    </w:p>
    <w:p>
      <w:pPr>
        <w:widowControl/>
        <w:spacing w:after="124" w:line="264" w:lineRule="auto"/>
      </w:pPr>
      <w:r>
        <w:rPr>
          <w:rFonts w:ascii="Noto Serif" w:hAnsi="Noto Serif" w:eastAsia="Noto Serif"/>
          <w:sz w:val="20"/>
        </w:rPr>
        <w:t>Există întrebări care sună periculos tocmai pentru că au fost formulate prost în trecut. Una dintre ele este aceasta: societatea ne schimbă doar cultura sau, prin modul în care distribuie șansele de a forma cupluri și de a avea copii, începe să ne schimbe și genetic?</w:t>
      </w:r>
    </w:p>
    <w:p>
      <w:pPr>
        <w:widowControl/>
        <w:spacing w:after="124" w:line="264" w:lineRule="auto"/>
      </w:pPr>
      <w:r>
        <w:rPr>
          <w:rFonts w:ascii="Noto Serif" w:hAnsi="Noto Serif" w:eastAsia="Noto Serif"/>
          <w:sz w:val="20"/>
        </w:rPr>
        <w:t>Intuiția comună spune că selecția naturală aparține preistoriei. Medicina a redus mortalitatea, statul a redus violența internă, tehnologia ne-a izolat de multe capricii ale mediului. Dar evoluția nu cere tigri, foamete și epidemii. Cere doar variație ereditară și diferențe sistematice de reproducere. Într-o societate în care un grup are, în medie, 0,9 copii iar altul 3,2, ceva se schimbă inevitabil între generații. Întrebarea este ce anume se schimbă: gene, norme, religie, statut social, geografie, toate simultan sau aproape nimic biologic relevant.</w:t>
      </w:r>
    </w:p>
    <w:p>
      <w:pPr>
        <w:widowControl/>
        <w:spacing w:after="124" w:line="264" w:lineRule="auto"/>
      </w:pPr>
      <w:r>
        <w:rPr>
          <w:rFonts w:ascii="Noto Serif" w:hAnsi="Noto Serif" w:eastAsia="Noto Serif"/>
          <w:sz w:val="20"/>
        </w:rPr>
        <w:t>Această întrebare a devenit mai urgentă pentru că demografia mondială s-a întors. Națiunile Unite estimează că populația globală, 8,2 miliarde în 2024, va mai crește până la aproximativ 10,3 miliarde în anii 2080 și apoi va începe să scadă. Fertilitatea globală era 2,25 copii per femeie, iar peste jumătate dintre țări și teritorii se aflau deja sub pragul aproximativ de înlocuire de 2,1. Un alt model, al Global Burden of Disease, proiectează pentru scenariul de referință o fertilitate globală de 1,83 în 2050 și 1,59 în 2100. Acestea sunt proiecții, nu profeții, dar direcția este suficient de serioasă pentru a schimba întrebarea de la „cât de mult vom crește?” la „ce fel de societăți pot continua să se reproducă?” (UN DESA, 2024; GBD 2021 Fertility and Forecasting Collaborators, 2024).</w:t>
      </w:r>
    </w:p>
    <w:p>
      <w:pPr>
        <w:widowControl/>
        <w:spacing w:after="124" w:line="264" w:lineRule="auto"/>
      </w:pPr>
      <w:r>
        <w:rPr>
          <w:rFonts w:ascii="Noto Serif" w:hAnsi="Noto Serif" w:eastAsia="Noto Serif"/>
          <w:sz w:val="20"/>
        </w:rPr>
        <w:t>Cartea nu va susține că „toți suntem pe cale de dispariție”. La scara secolului XXI, aceasta ar fi o exagerare. Va susține ceva mai interesant: modernitatea a construit, probabil fără intenție, un mediu reproductiv nou. În el, succesul economic, educația, urbanizarea, autonomia, costul locuințelor, timpul petrecut la muncă, normele de cuplu și accesul la rețele de rudenie influențează nu doar cum trăim, ci și cine ajunge să aibă urmași.</w:t>
      </w:r>
    </w:p>
    <w:p>
      <w:pPr>
        <w:widowControl/>
        <w:spacing w:after="124" w:line="264" w:lineRule="auto"/>
      </w:pPr>
      <w:r>
        <w:rPr>
          <w:rFonts w:ascii="Noto Serif" w:hAnsi="Noto Serif" w:eastAsia="Noto Serif"/>
          <w:sz w:val="20"/>
        </w:rPr>
        <w:t>Aici apare paradoxul. O societate poate recompensa o trăsătură în carieră și o poate penaliza reproductiv. Poate aprecia educația, dar poate face anii necesari educației incompatibili cu formarea timpurie a familiei. Poate selecta profesional pentru mobilitate și independență, dar poate distruge tocmai rețelele de bunici, rude și vecini care fac creșterea copiilor suportabilă. Instituțiile nu sunt simple scene pe care oamenii își joacă biologia. Ele devin parte din mediul evolutiv.</w:t>
      </w:r>
    </w:p>
    <w:p>
      <w:pPr>
        <w:widowControl/>
        <w:spacing w:after="124" w:line="264" w:lineRule="auto"/>
      </w:pPr>
      <w:r>
        <w:rPr>
          <w:rFonts w:ascii="Noto Serif" w:hAnsi="Noto Serif" w:eastAsia="Noto Serif"/>
          <w:sz w:val="20"/>
        </w:rPr>
        <w:t>Și totuși, cultura se mișcă mult mai repede decât genele. Aceasta este cheia întregii cărți. Normele pot inversa o asociere în câteva decenii; migrația poate rearanja o populație într-o generație; o politică de locuire poate schimba vârsta primei nașteri fără să se modifice niciun genom. Orice poveste care sare direct de la „în orașe se nasc mai puțini copii” la „orașele selectează genetic tipul X de om” pierde tocmai mecanismele importante.</w:t>
      </w:r>
    </w:p>
    <w:p>
      <w:pPr>
        <w:widowControl/>
        <w:spacing w:after="124" w:line="264" w:lineRule="auto"/>
      </w:pPr>
      <w:r>
        <w:rPr>
          <w:rFonts w:ascii="Noto Serif" w:hAnsi="Noto Serif" w:eastAsia="Noto Serif"/>
          <w:sz w:val="20"/>
        </w:rPr>
        <w:t>Vom merge, așadar, pe o muchie îngustă: suficient de departe încât să formulăm ipoteze incomode, dar suficient de riguros încât să știm când dovezile se termină. Rezultatul nu este o carte despre puritatea genelor. Este o carte despre libertate instituțională: ce fel de medii sociale permit unor tipuri umane diferite să existe, să coopereze și să aibă viitor.</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TEZA DE LUCRU</w:t>
            </w:r>
            <w:r>
              <w:rPr>
                <w:rFonts w:ascii="Noto Sans" w:hAnsi="Noto Sans" w:eastAsia="Noto Sans"/>
                <w:b/>
                <w:color w:val="696969"/>
                <w:sz w:val="16"/>
              </w:rPr>
              <w:t xml:space="preserve">  IPOTEZĂ CENTRALĂ</w:t>
            </w:r>
          </w:p>
          <w:p>
            <w:pPr>
              <w:spacing w:after="20" w:line="252" w:lineRule="auto"/>
            </w:pPr>
            <w:r>
              <w:rPr>
                <w:rFonts w:ascii="Noto Serif" w:hAnsi="Noto Serif" w:eastAsia="Noto Serif"/>
                <w:sz w:val="19"/>
              </w:rPr>
              <w:t>Societățile sunt medii de selecție, dar în prezent ele selectează mult mai repede norme, strategii de viață și compoziții demografice decât gene. Efectele genetice există și pot fi măsurate, însă sunt mici, poligenice, dependente de context și adesea mediate prin educație, vârsta primei nașteri, migrație și acces la familie. Viitorul biologic nu poate fi separat de designul instituțional.</w:t>
            </w:r>
          </w:p>
        </w:tc>
      </w:tr>
    </w:tbl>
    <w:p>
      <w:pPr>
        <w:widowControl/>
        <w:spacing w:after="20"/>
      </w:pPr>
    </w:p>
    <w:p>
      <w:pPr>
        <w:widowControl/>
      </w:pPr>
      <w:r>
        <w:br w:type="page"/>
      </w:r>
    </w:p>
    <w:p>
      <w:pPr>
        <w:widowControl/>
      </w:pPr>
      <w:r>
        <w:rPr>
          <w:rFonts w:ascii="Noto Serif" w:hAnsi="Noto Serif" w:eastAsia="Noto Serif"/>
          <w:b/>
          <w:color w:val="1F2C32"/>
          <w:sz w:val="48"/>
        </w:rPr>
        <w:t>CUPRINS</w:t>
      </w:r>
    </w:p>
    <w:p>
      <w:pPr>
        <w:widowControl/>
        <w:spacing w:after="50"/>
      </w:pPr>
      <w:r>
        <w:rPr>
          <w:rFonts w:ascii="Noto Sans" w:hAnsi="Noto Sans" w:eastAsia="Noto Sans"/>
          <w:b/>
          <w:color w:val="555555"/>
          <w:sz w:val="17"/>
        </w:rPr>
        <w:t xml:space="preserve">PARTEA I  </w:t>
      </w:r>
      <w:r>
        <w:rPr>
          <w:rFonts w:ascii="Noto Serif" w:hAnsi="Noto Serif" w:eastAsia="Noto Serif"/>
          <w:sz w:val="19"/>
        </w:rPr>
        <w:t>Selecția nu s-a oprit</w:t>
      </w:r>
    </w:p>
    <w:p>
      <w:pPr>
        <w:widowControl/>
        <w:spacing w:after="50"/>
      </w:pPr>
      <w:r>
        <w:rPr>
          <w:rFonts w:ascii="Noto Sans" w:hAnsi="Noto Sans" w:eastAsia="Noto Sans"/>
          <w:b/>
          <w:color w:val="555555"/>
          <w:sz w:val="17"/>
        </w:rPr>
        <w:t xml:space="preserve">1  </w:t>
      </w:r>
      <w:r>
        <w:rPr>
          <w:rFonts w:ascii="Noto Serif" w:hAnsi="Noto Serif" w:eastAsia="Noto Serif"/>
          <w:sz w:val="19"/>
        </w:rPr>
        <w:t>Evoluția nu a primit vestea despre modernitate</w:t>
      </w:r>
    </w:p>
    <w:p>
      <w:pPr>
        <w:widowControl/>
        <w:spacing w:after="50"/>
      </w:pPr>
      <w:r>
        <w:rPr>
          <w:rFonts w:ascii="Noto Sans" w:hAnsi="Noto Sans" w:eastAsia="Noto Sans"/>
          <w:b/>
          <w:color w:val="555555"/>
          <w:sz w:val="17"/>
        </w:rPr>
        <w:t xml:space="preserve">2  </w:t>
      </w:r>
      <w:r>
        <w:rPr>
          <w:rFonts w:ascii="Noto Serif" w:hAnsi="Noto Serif" w:eastAsia="Noto Serif"/>
          <w:sz w:val="19"/>
        </w:rPr>
        <w:t>Marele paradox demografic</w:t>
      </w:r>
    </w:p>
    <w:p>
      <w:pPr>
        <w:widowControl/>
        <w:spacing w:after="50"/>
      </w:pPr>
      <w:r>
        <w:rPr>
          <w:rFonts w:ascii="Noto Sans" w:hAnsi="Noto Sans" w:eastAsia="Noto Sans"/>
          <w:b/>
          <w:color w:val="555555"/>
          <w:sz w:val="17"/>
        </w:rPr>
        <w:t xml:space="preserve">3  </w:t>
      </w:r>
      <w:r>
        <w:rPr>
          <w:rFonts w:ascii="Noto Serif" w:hAnsi="Noto Serif" w:eastAsia="Noto Serif"/>
          <w:sz w:val="19"/>
        </w:rPr>
        <w:t>Cine are copii?</w:t>
      </w:r>
    </w:p>
    <w:p>
      <w:pPr>
        <w:widowControl/>
        <w:spacing w:after="50"/>
      </w:pPr>
      <w:r>
        <w:rPr>
          <w:rFonts w:ascii="Noto Sans" w:hAnsi="Noto Sans" w:eastAsia="Noto Sans"/>
          <w:b/>
          <w:color w:val="555555"/>
          <w:sz w:val="17"/>
        </w:rPr>
        <w:t xml:space="preserve">4  </w:t>
      </w:r>
      <w:r>
        <w:rPr>
          <w:rFonts w:ascii="Noto Serif" w:hAnsi="Noto Serif" w:eastAsia="Noto Serif"/>
          <w:sz w:val="19"/>
        </w:rPr>
        <w:t>Cum transformă instituțiile preferințele în descendență</w:t>
      </w:r>
    </w:p>
    <w:p>
      <w:pPr>
        <w:widowControl/>
        <w:spacing w:after="50"/>
      </w:pPr>
      <w:r>
        <w:rPr>
          <w:rFonts w:ascii="Noto Sans" w:hAnsi="Noto Sans" w:eastAsia="Noto Sans"/>
          <w:b/>
          <w:color w:val="555555"/>
          <w:sz w:val="17"/>
        </w:rPr>
        <w:t xml:space="preserve">PARTEA II  </w:t>
      </w:r>
      <w:r>
        <w:rPr>
          <w:rFonts w:ascii="Noto Serif" w:hAnsi="Noto Serif" w:eastAsia="Noto Serif"/>
          <w:sz w:val="19"/>
        </w:rPr>
        <w:t>Personalitatea este o ecologie</w:t>
      </w:r>
    </w:p>
    <w:p>
      <w:pPr>
        <w:widowControl/>
        <w:spacing w:after="50"/>
      </w:pPr>
      <w:r>
        <w:rPr>
          <w:rFonts w:ascii="Noto Sans" w:hAnsi="Noto Sans" w:eastAsia="Noto Sans"/>
          <w:b/>
          <w:color w:val="555555"/>
          <w:sz w:val="17"/>
        </w:rPr>
        <w:t xml:space="preserve">5  </w:t>
      </w:r>
      <w:r>
        <w:rPr>
          <w:rFonts w:ascii="Noto Serif" w:hAnsi="Noto Serif" w:eastAsia="Noto Serif"/>
          <w:sz w:val="19"/>
        </w:rPr>
        <w:t>Cât din personalitate este moștenit?</w:t>
      </w:r>
    </w:p>
    <w:p>
      <w:pPr>
        <w:widowControl/>
        <w:spacing w:after="50"/>
      </w:pPr>
      <w:r>
        <w:rPr>
          <w:rFonts w:ascii="Noto Sans" w:hAnsi="Noto Sans" w:eastAsia="Noto Sans"/>
          <w:b/>
          <w:color w:val="555555"/>
          <w:sz w:val="17"/>
        </w:rPr>
        <w:t xml:space="preserve">6  </w:t>
      </w:r>
      <w:r>
        <w:rPr>
          <w:rFonts w:ascii="Noto Serif" w:hAnsi="Noto Serif" w:eastAsia="Noto Serif"/>
          <w:sz w:val="19"/>
        </w:rPr>
        <w:t>Big Five și problema unei rigle universale</w:t>
      </w:r>
    </w:p>
    <w:p>
      <w:pPr>
        <w:widowControl/>
        <w:spacing w:after="50"/>
      </w:pPr>
      <w:r>
        <w:rPr>
          <w:rFonts w:ascii="Noto Sans" w:hAnsi="Noto Sans" w:eastAsia="Noto Sans"/>
          <w:b/>
          <w:color w:val="555555"/>
          <w:sz w:val="17"/>
        </w:rPr>
        <w:t xml:space="preserve">7  </w:t>
      </w:r>
      <w:r>
        <w:rPr>
          <w:rFonts w:ascii="Noto Serif" w:hAnsi="Noto Serif" w:eastAsia="Noto Serif"/>
          <w:sz w:val="19"/>
        </w:rPr>
        <w:t>Satul, statul și birocratul</w:t>
      </w:r>
    </w:p>
    <w:p>
      <w:pPr>
        <w:widowControl/>
        <w:spacing w:after="50"/>
      </w:pPr>
      <w:r>
        <w:rPr>
          <w:rFonts w:ascii="Noto Sans" w:hAnsi="Noto Sans" w:eastAsia="Noto Sans"/>
          <w:b/>
          <w:color w:val="555555"/>
          <w:sz w:val="17"/>
        </w:rPr>
        <w:t xml:space="preserve">8  </w:t>
      </w:r>
      <w:r>
        <w:rPr>
          <w:rFonts w:ascii="Noto Serif" w:hAnsi="Noto Serif" w:eastAsia="Noto Serif"/>
          <w:sz w:val="19"/>
        </w:rPr>
        <w:t>China: o civilizație, multe psihologii</w:t>
      </w:r>
    </w:p>
    <w:p>
      <w:pPr>
        <w:widowControl/>
        <w:spacing w:after="50"/>
      </w:pPr>
      <w:r>
        <w:rPr>
          <w:rFonts w:ascii="Noto Sans" w:hAnsi="Noto Sans" w:eastAsia="Noto Sans"/>
          <w:b/>
          <w:color w:val="555555"/>
          <w:sz w:val="17"/>
        </w:rPr>
        <w:t xml:space="preserve">9  </w:t>
      </w:r>
      <w:r>
        <w:rPr>
          <w:rFonts w:ascii="Noto Serif" w:hAnsi="Noto Serif" w:eastAsia="Noto Serif"/>
          <w:sz w:val="19"/>
        </w:rPr>
        <w:t>India: imposibilitatea unei singure medii</w:t>
      </w:r>
    </w:p>
    <w:p>
      <w:pPr>
        <w:widowControl/>
        <w:spacing w:after="50"/>
      </w:pPr>
      <w:r>
        <w:rPr>
          <w:rFonts w:ascii="Noto Sans" w:hAnsi="Noto Sans" w:eastAsia="Noto Sans"/>
          <w:b/>
          <w:color w:val="555555"/>
          <w:sz w:val="17"/>
        </w:rPr>
        <w:t xml:space="preserve">10  </w:t>
      </w:r>
      <w:r>
        <w:rPr>
          <w:rFonts w:ascii="Noto Serif" w:hAnsi="Noto Serif" w:eastAsia="Noto Serif"/>
          <w:sz w:val="19"/>
        </w:rPr>
        <w:t>Frontiera, insula și migratorul</w:t>
      </w:r>
    </w:p>
    <w:p>
      <w:pPr>
        <w:widowControl/>
        <w:spacing w:after="50"/>
      </w:pPr>
      <w:r>
        <w:rPr>
          <w:rFonts w:ascii="Noto Sans" w:hAnsi="Noto Sans" w:eastAsia="Noto Sans"/>
          <w:b/>
          <w:color w:val="555555"/>
          <w:sz w:val="17"/>
        </w:rPr>
        <w:t xml:space="preserve">11  </w:t>
      </w:r>
      <w:r>
        <w:rPr>
          <w:rFonts w:ascii="Noto Serif" w:hAnsi="Noto Serif" w:eastAsia="Noto Serif"/>
          <w:sz w:val="19"/>
        </w:rPr>
        <w:t>Când cinci factori devin doi</w:t>
      </w:r>
    </w:p>
    <w:p>
      <w:pPr>
        <w:widowControl/>
        <w:spacing w:after="50"/>
      </w:pPr>
      <w:r>
        <w:rPr>
          <w:rFonts w:ascii="Noto Sans" w:hAnsi="Noto Sans" w:eastAsia="Noto Sans"/>
          <w:b/>
          <w:color w:val="555555"/>
          <w:sz w:val="17"/>
        </w:rPr>
        <w:t xml:space="preserve">PARTEA III  </w:t>
      </w:r>
      <w:r>
        <w:rPr>
          <w:rFonts w:ascii="Noto Serif" w:hAnsi="Noto Serif" w:eastAsia="Noto Serif"/>
          <w:sz w:val="19"/>
        </w:rPr>
        <w:t>Marginile întunecate</w:t>
      </w:r>
    </w:p>
    <w:p>
      <w:pPr>
        <w:widowControl/>
        <w:spacing w:after="50"/>
      </w:pPr>
      <w:r>
        <w:rPr>
          <w:rFonts w:ascii="Noto Sans" w:hAnsi="Noto Sans" w:eastAsia="Noto Sans"/>
          <w:b/>
          <w:color w:val="555555"/>
          <w:sz w:val="17"/>
        </w:rPr>
        <w:t xml:space="preserve">12  </w:t>
      </w:r>
      <w:r>
        <w:rPr>
          <w:rFonts w:ascii="Noto Serif" w:hAnsi="Noto Serif" w:eastAsia="Noto Serif"/>
          <w:sz w:val="19"/>
        </w:rPr>
        <w:t>Psihopatia: prădătorul sau problema de măsurare?</w:t>
      </w:r>
    </w:p>
    <w:p>
      <w:pPr>
        <w:widowControl/>
        <w:spacing w:after="50"/>
      </w:pPr>
      <w:r>
        <w:rPr>
          <w:rFonts w:ascii="Noto Sans" w:hAnsi="Noto Sans" w:eastAsia="Noto Sans"/>
          <w:b/>
          <w:color w:val="555555"/>
          <w:sz w:val="17"/>
        </w:rPr>
        <w:t xml:space="preserve">13  </w:t>
      </w:r>
      <w:r>
        <w:rPr>
          <w:rFonts w:ascii="Noto Serif" w:hAnsi="Noto Serif" w:eastAsia="Noto Serif"/>
          <w:sz w:val="19"/>
        </w:rPr>
        <w:t>Paranoia în mulțime</w:t>
      </w:r>
    </w:p>
    <w:p>
      <w:pPr>
        <w:widowControl/>
        <w:spacing w:after="50"/>
      </w:pPr>
      <w:r>
        <w:rPr>
          <w:rFonts w:ascii="Noto Sans" w:hAnsi="Noto Sans" w:eastAsia="Noto Sans"/>
          <w:b/>
          <w:color w:val="555555"/>
          <w:sz w:val="17"/>
        </w:rPr>
        <w:t xml:space="preserve">14  </w:t>
      </w:r>
      <w:r>
        <w:rPr>
          <w:rFonts w:ascii="Noto Serif" w:hAnsi="Noto Serif" w:eastAsia="Noto Serif"/>
          <w:sz w:val="19"/>
        </w:rPr>
        <w:t>Orașul ca experiment psihologic</w:t>
      </w:r>
    </w:p>
    <w:p>
      <w:pPr>
        <w:widowControl/>
        <w:spacing w:after="50"/>
      </w:pPr>
      <w:r>
        <w:rPr>
          <w:rFonts w:ascii="Noto Sans" w:hAnsi="Noto Sans" w:eastAsia="Noto Sans"/>
          <w:b/>
          <w:color w:val="555555"/>
          <w:sz w:val="17"/>
        </w:rPr>
        <w:t xml:space="preserve">15  </w:t>
      </w:r>
      <w:r>
        <w:rPr>
          <w:rFonts w:ascii="Noto Serif" w:hAnsi="Noto Serif" w:eastAsia="Noto Serif"/>
          <w:sz w:val="19"/>
        </w:rPr>
        <w:t>Tulburările psihice și reproducerea</w:t>
      </w:r>
    </w:p>
    <w:p>
      <w:pPr>
        <w:widowControl/>
        <w:spacing w:after="50"/>
      </w:pPr>
      <w:r>
        <w:rPr>
          <w:rFonts w:ascii="Noto Sans" w:hAnsi="Noto Sans" w:eastAsia="Noto Sans"/>
          <w:b/>
          <w:color w:val="555555"/>
          <w:sz w:val="17"/>
        </w:rPr>
        <w:t xml:space="preserve">PARTEA IV  </w:t>
      </w:r>
      <w:r>
        <w:rPr>
          <w:rFonts w:ascii="Noto Serif" w:hAnsi="Noto Serif" w:eastAsia="Noto Serif"/>
          <w:sz w:val="19"/>
        </w:rPr>
        <w:t>Patru viitoruri</w:t>
      </w:r>
    </w:p>
    <w:p>
      <w:pPr>
        <w:widowControl/>
        <w:spacing w:after="50"/>
      </w:pPr>
      <w:r>
        <w:rPr>
          <w:rFonts w:ascii="Noto Sans" w:hAnsi="Noto Sans" w:eastAsia="Noto Sans"/>
          <w:b/>
          <w:color w:val="555555"/>
          <w:sz w:val="17"/>
        </w:rPr>
        <w:t xml:space="preserve">16  </w:t>
      </w:r>
      <w:r>
        <w:rPr>
          <w:rFonts w:ascii="Noto Serif" w:hAnsi="Noto Serif" w:eastAsia="Noto Serif"/>
          <w:sz w:val="19"/>
        </w:rPr>
        <w:t>Megapolisul meritocratic</w:t>
      </w:r>
    </w:p>
    <w:p>
      <w:pPr>
        <w:widowControl/>
        <w:spacing w:after="50"/>
      </w:pPr>
      <w:r>
        <w:rPr>
          <w:rFonts w:ascii="Noto Sans" w:hAnsi="Noto Sans" w:eastAsia="Noto Sans"/>
          <w:b/>
          <w:color w:val="555555"/>
          <w:sz w:val="17"/>
        </w:rPr>
        <w:t xml:space="preserve">17  </w:t>
      </w:r>
      <w:r>
        <w:rPr>
          <w:rFonts w:ascii="Noto Serif" w:hAnsi="Noto Serif" w:eastAsia="Noto Serif"/>
          <w:sz w:val="19"/>
        </w:rPr>
        <w:t>Arhipelagul neo-tribal</w:t>
      </w:r>
    </w:p>
    <w:p>
      <w:pPr>
        <w:widowControl/>
        <w:spacing w:after="50"/>
      </w:pPr>
      <w:r>
        <w:rPr>
          <w:rFonts w:ascii="Noto Sans" w:hAnsi="Noto Sans" w:eastAsia="Noto Sans"/>
          <w:b/>
          <w:color w:val="555555"/>
          <w:sz w:val="17"/>
        </w:rPr>
        <w:t xml:space="preserve">18  </w:t>
      </w:r>
      <w:r>
        <w:rPr>
          <w:rFonts w:ascii="Noto Serif" w:hAnsi="Noto Serif" w:eastAsia="Noto Serif"/>
          <w:sz w:val="19"/>
        </w:rPr>
        <w:t>Metropola de proximitate</w:t>
      </w:r>
    </w:p>
    <w:p>
      <w:pPr>
        <w:widowControl/>
        <w:spacing w:after="50"/>
      </w:pPr>
      <w:r>
        <w:rPr>
          <w:rFonts w:ascii="Noto Sans" w:hAnsi="Noto Sans" w:eastAsia="Noto Sans"/>
          <w:b/>
          <w:color w:val="555555"/>
          <w:sz w:val="17"/>
        </w:rPr>
        <w:t xml:space="preserve">19  </w:t>
      </w:r>
      <w:r>
        <w:rPr>
          <w:rFonts w:ascii="Noto Serif" w:hAnsi="Noto Serif" w:eastAsia="Noto Serif"/>
          <w:sz w:val="19"/>
        </w:rPr>
        <w:t>Reproducerea algoritmică</w:t>
      </w:r>
    </w:p>
    <w:p>
      <w:pPr>
        <w:widowControl/>
        <w:spacing w:after="50"/>
      </w:pPr>
      <w:r>
        <w:rPr>
          <w:rFonts w:ascii="Noto Sans" w:hAnsi="Noto Sans" w:eastAsia="Noto Sans"/>
          <w:b/>
          <w:color w:val="555555"/>
          <w:sz w:val="17"/>
        </w:rPr>
        <w:t xml:space="preserve">20  </w:t>
      </w:r>
      <w:r>
        <w:rPr>
          <w:rFonts w:ascii="Noto Serif" w:hAnsi="Noto Serif" w:eastAsia="Noto Serif"/>
          <w:sz w:val="19"/>
        </w:rPr>
        <w:t>Societatea pe care alegem să o selectăm</w:t>
      </w:r>
    </w:p>
    <w:p>
      <w:pPr>
        <w:widowControl/>
        <w:spacing w:after="50"/>
      </w:pPr>
      <w:r>
        <w:rPr>
          <w:rFonts w:ascii="Noto Sans" w:hAnsi="Noto Sans" w:eastAsia="Noto Sans"/>
          <w:b/>
          <w:color w:val="555555"/>
          <w:sz w:val="17"/>
        </w:rPr>
        <w:t xml:space="preserve">EPILOG  </w:t>
      </w:r>
      <w:r>
        <w:rPr>
          <w:rFonts w:ascii="Noto Serif" w:hAnsi="Noto Serif" w:eastAsia="Noto Serif"/>
          <w:sz w:val="19"/>
        </w:rPr>
        <w:t>Dispariția nu este un eveniment</w:t>
      </w:r>
    </w:p>
    <w:p>
      <w:pPr>
        <w:widowControl/>
        <w:spacing w:after="50"/>
      </w:pPr>
      <w:r>
        <w:rPr>
          <w:rFonts w:ascii="Noto Sans" w:hAnsi="Noto Sans" w:eastAsia="Noto Sans"/>
          <w:b/>
          <w:color w:val="555555"/>
          <w:sz w:val="17"/>
        </w:rPr>
        <w:t xml:space="preserve">ANEXĂ  </w:t>
      </w:r>
      <w:r>
        <w:rPr>
          <w:rFonts w:ascii="Noto Serif" w:hAnsi="Noto Serif" w:eastAsia="Noto Serif"/>
          <w:sz w:val="19"/>
        </w:rPr>
        <w:t>Harta dovezilor și criterii de falsificare</w:t>
      </w:r>
    </w:p>
    <w:p>
      <w:pPr>
        <w:widowControl/>
        <w:spacing w:after="50"/>
      </w:pPr>
      <w:r>
        <w:rPr>
          <w:rFonts w:ascii="Noto Sans" w:hAnsi="Noto Sans" w:eastAsia="Noto Sans"/>
          <w:b/>
          <w:color w:val="555555"/>
          <w:sz w:val="17"/>
        </w:rPr>
        <w:t xml:space="preserve">BIBLIOGRAFIE  </w:t>
      </w:r>
      <w:r>
        <w:rPr>
          <w:rFonts w:ascii="Noto Serif" w:hAnsi="Noto Serif" w:eastAsia="Noto Serif"/>
          <w:sz w:val="19"/>
        </w:rPr>
        <w:t>Surse selectate</w:t>
      </w:r>
    </w:p>
    <w:p>
      <w:pPr>
        <w:widowControl/>
      </w:pPr>
      <w:r>
        <w:br w:type="page"/>
      </w:r>
    </w:p>
    <w:p>
      <w:pPr>
        <w:widowControl/>
        <w:spacing w:before="1800"/>
        <w:jc w:val="center"/>
      </w:pPr>
      <w:r>
        <w:rPr>
          <w:rFonts w:ascii="Noto Sans" w:hAnsi="Noto Sans" w:eastAsia="Noto Sans"/>
          <w:b/>
          <w:color w:val="696969"/>
          <w:sz w:val="19"/>
        </w:rPr>
        <w:t>PARTEA I</w:t>
      </w:r>
    </w:p>
    <w:p>
      <w:pPr>
        <w:widowControl/>
        <w:spacing w:before="160" w:after="240"/>
        <w:jc w:val="center"/>
      </w:pPr>
      <w:r>
        <w:rPr>
          <w:rFonts w:ascii="Noto Serif" w:hAnsi="Noto Serif" w:eastAsia="Noto Serif"/>
          <w:b/>
          <w:color w:val="1F2E36"/>
          <w:sz w:val="54"/>
        </w:rPr>
        <w:t>SELECȚIA NU S-A OPRIT</w:t>
      </w:r>
    </w:p>
    <w:p>
      <w:pPr>
        <w:widowControl/>
        <w:jc w:val="center"/>
      </w:pPr>
      <w:r>
        <w:rPr>
          <w:rFonts w:ascii="Noto Serif" w:hAnsi="Noto Serif" w:eastAsia="Noto Serif"/>
          <w:i/>
          <w:color w:val="5A5A5A"/>
          <w:sz w:val="23"/>
        </w:rPr>
        <w:t>Evoluția continuă chiar și atunci când mortalitatea scade. Doar criteriile se schimbă.</w:t>
      </w:r>
    </w:p>
    <w:p>
      <w:pPr>
        <w:widowControl/>
      </w:pPr>
      <w:r>
        <w:br w:type="page"/>
      </w:r>
    </w:p>
    <w:p>
      <w:pPr>
        <w:widowControl/>
        <w:spacing w:before="560" w:after="60"/>
      </w:pPr>
      <w:r>
        <w:rPr>
          <w:rFonts w:ascii="Noto Sans" w:hAnsi="Noto Sans" w:eastAsia="Noto Sans"/>
          <w:b/>
          <w:color w:val="5C5C5C"/>
          <w:sz w:val="18"/>
        </w:rPr>
        <w:t>CAPITOLUL 1</w:t>
      </w:r>
    </w:p>
    <w:p>
      <w:pPr>
        <w:keepNext/>
        <w:widowControl/>
        <w:spacing w:after="200"/>
      </w:pPr>
      <w:r>
        <w:rPr>
          <w:rFonts w:ascii="Noto Serif" w:hAnsi="Noto Serif" w:eastAsia="Noto Serif"/>
          <w:b/>
          <w:color w:val="202A30"/>
          <w:sz w:val="50"/>
        </w:rPr>
        <w:t>Evoluția nu a primit vestea despre modernitate</w:t>
      </w:r>
    </w:p>
    <w:p>
      <w:pPr>
        <w:widowControl/>
        <w:spacing w:after="400"/>
      </w:pPr>
      <w:r>
        <w:rPr>
          <w:rFonts w:ascii="Noto Serif" w:hAnsi="Noto Serif" w:eastAsia="Noto Serif"/>
          <w:i/>
          <w:color w:val="5A5A5A"/>
          <w:sz w:val="23"/>
        </w:rPr>
        <w:t>Natural selection after natural selection stopped looking natural</w:t>
      </w:r>
    </w:p>
    <w:p>
      <w:pPr>
        <w:widowControl/>
        <w:spacing w:after="124" w:line="264" w:lineRule="auto"/>
      </w:pPr>
      <w:r>
        <w:rPr>
          <w:rFonts w:ascii="Noto Serif" w:hAnsi="Noto Serif" w:eastAsia="Noto Serif"/>
          <w:sz w:val="20"/>
        </w:rPr>
        <w:t>În imaginarul modern, evoluția umană are un final tacit: momentul în care am inventat medicina, canalizarea, antibioticele și statul social. Înainte, natura selecta. După aceea, cultura ar fi suspendat jocul. Biologic, această imagine este greșită. Selecția naturală nu este sinonimă cu moartea timpurie și nici cu „supraviețuirea celui mai puternic”. Ea apare oriunde există diferențe ereditare care covariază cu numărul de descendenți care ajung, la rândul lor, să se reproducă.</w:t>
      </w:r>
    </w:p>
    <w:p>
      <w:pPr>
        <w:widowControl/>
        <w:spacing w:after="124" w:line="264" w:lineRule="auto"/>
      </w:pPr>
      <w:r>
        <w:rPr>
          <w:rFonts w:ascii="Noto Serif" w:hAnsi="Noto Serif" w:eastAsia="Noto Serif"/>
          <w:sz w:val="20"/>
        </w:rPr>
        <w:t>Dacă aproape toată lumea supraviețuiește până la vârsta reproductivă, selecția nu dispare; centrul ei de greutate se mută de la supraviețuire spre împerechere, calendarul reproducerii și numărul de copii. Într-un asemenea mediu, o diferență de un copil mediu per adult poate fi evolutiv mai importantă decât o diferență mică de mortalitate.</w:t>
      </w:r>
    </w:p>
    <w:p>
      <w:pPr>
        <w:widowControl/>
        <w:spacing w:after="124" w:line="264" w:lineRule="auto"/>
      </w:pPr>
      <w:r>
        <w:rPr>
          <w:rFonts w:ascii="Noto Serif" w:hAnsi="Noto Serif" w:eastAsia="Noto Serif"/>
          <w:sz w:val="20"/>
        </w:rPr>
        <w:t>Aceasta nu înseamnă că orice diferență de fertilitate este genetică. Pentru ca o trăsătură să răspundă la selecție genetică, variația relevantă trebuie să fie într-o măsură ereditară. Personalitatea îndeplinește parțial această condiție. O meta-analiză a studiilor behavior-genetice a estimat că aproximativ 40% din variația individuală a personalității este asociată cu diferențe genetice, restul fiind atribuit mediului și erorii de măsurare; estimările sunt mai mari în studii pe gemeni decât în studii de adopție și familie (Vukasović &amp; Bratko, 2015). Dar „40% ereditar” nu înseamnă „40% predeterminat” și nu spune nimic despre diferențele dintre popoare. Heritabilitatea este o proprietate statistică a variației într-o populație și într-un mediu dat.</w:t>
      </w:r>
    </w:p>
    <w:p>
      <w:pPr>
        <w:keepNext/>
        <w:widowControl/>
        <w:spacing w:before="240" w:after="100"/>
      </w:pPr>
      <w:r>
        <w:rPr>
          <w:rFonts w:ascii="Noto Sans" w:hAnsi="Noto Sans" w:eastAsia="Noto Sans"/>
          <w:b/>
          <w:color w:val="2D373C"/>
          <w:sz w:val="24"/>
        </w:rPr>
        <w:t>O ecuație fără matematică inutilă</w:t>
      </w:r>
    </w:p>
    <w:p>
      <w:pPr>
        <w:widowControl/>
        <w:spacing w:after="124" w:line="264" w:lineRule="auto"/>
      </w:pPr>
      <w:r>
        <w:rPr>
          <w:rFonts w:ascii="Noto Serif" w:hAnsi="Noto Serif" w:eastAsia="Noto Serif"/>
          <w:sz w:val="20"/>
        </w:rPr>
        <w:t>În forma cea mai simplă, schimbarea evolutivă poate fi imaginată astfel: dacă o caracteristică ereditară este sistematic mai prezentă la persoanele care au mai mulți copii, media acelei caracteristici poate crește în generația următoare. În genetica cantitativă există formalizări precise, inclusiv ecuația lui Price, dar intuiția este o covarianță: trăsătură x succes reproductiv.</w:t>
      </w:r>
    </w:p>
    <w:p>
      <w:pPr>
        <w:widowControl/>
        <w:spacing w:after="124" w:line="264" w:lineRule="auto"/>
      </w:pPr>
      <w:r>
        <w:rPr>
          <w:rFonts w:ascii="Noto Serif" w:hAnsi="Noto Serif" w:eastAsia="Noto Serif"/>
          <w:sz w:val="20"/>
        </w:rPr>
        <w:t>Problema este că oamenii nu se reproduc într-un laborator. Între trăsătură și copil se află universitatea, chiria, piața muncii, cultura întâlnirilor, religia, vârsta căsătoriei, accesul la contracepție, migrația, sănătatea, politica familială și preferințele partenerului. Societatea introduce zeci de variabile intermediare. Un efect evolutiv poate fi real și totuși cauza apropiată să fie aproape în întregime instituțională.</w:t>
      </w:r>
    </w:p>
    <w:p>
      <w:pPr>
        <w:widowControl/>
        <w:spacing w:after="124" w:line="264" w:lineRule="auto"/>
      </w:pPr>
      <w:r>
        <w:rPr>
          <w:rFonts w:ascii="Noto Serif" w:hAnsi="Noto Serif" w:eastAsia="Noto Serif"/>
          <w:sz w:val="20"/>
        </w:rPr>
        <w:t>Un exemplu celebru vine din Islanda. Kong și colaboratorii au arătat că un scor poligenic asociat cu nivelul educațional prezicea reproducere mai târzie și, în medie, mai puțini copii. În cohortele născute între 1910 și 1990, scorul mediu scădea cu aproximativ 0,010 deviații standard pe decadă. Autorii au interpretat rezultatul ca selecție împotriva variantelor asociate cu educația în acel context (Kong et al., 2017). Este un rezultat important, dar nu este o sentință despre „declinul inteligenței”. Scorurile poligenice surprind o fracțiune din variație, depind de populația pe care au fost construite și nu sunt echivalente cu o trăsătură morală sau cognitivă unică.</w:t>
      </w:r>
    </w:p>
    <w:p>
      <w:pPr>
        <w:widowControl/>
        <w:spacing w:after="124" w:line="264" w:lineRule="auto"/>
      </w:pPr>
      <w:r>
        <w:rPr>
          <w:rFonts w:ascii="Noto Serif" w:hAnsi="Noto Serif" w:eastAsia="Noto Serif"/>
          <w:sz w:val="20"/>
        </w:rPr>
        <w:t>Mai important, mediul poate inversa selecția. Un studiu recent pe 22.636 de persoane din 17 țări a găsit o asociere medie pozitivă între conștiinciozitate și numărul de copii, o asociere negativă pentru niveluri ridicate de deschidere, dar efecte mici și semne diferite între țări pentru extraversie, nevrotism și deschidere (Sanz-García et al., 2025). Nu există, deci, un unic „profil reproductiv al modernității”. Există ecologii reproductive.</w:t>
      </w:r>
    </w:p>
    <w:p>
      <w:pPr>
        <w:keepNext/>
        <w:widowControl/>
        <w:spacing w:before="240" w:after="100"/>
      </w:pPr>
      <w:r>
        <w:rPr>
          <w:rFonts w:ascii="Noto Sans" w:hAnsi="Noto Sans" w:eastAsia="Noto Sans"/>
          <w:b/>
          <w:color w:val="2D373C"/>
          <w:sz w:val="24"/>
        </w:rPr>
        <w:t>Evoluția culturală aleargă înainte</w:t>
      </w:r>
    </w:p>
    <w:p>
      <w:pPr>
        <w:widowControl/>
        <w:spacing w:after="124" w:line="264" w:lineRule="auto"/>
      </w:pPr>
      <w:r>
        <w:rPr>
          <w:rFonts w:ascii="Noto Serif" w:hAnsi="Noto Serif" w:eastAsia="Noto Serif"/>
          <w:sz w:val="20"/>
        </w:rPr>
        <w:t>Un obicei poate deveni dominant într-o generație; o alelă rară are nevoie, de regulă, de mult mai mult. De aceea, cea mai mare parte a schimbării pe care o vom observa în secolul XXI va fi culturală și demografică înainte de a fi genetică. Comunitățile cu fertilitate mare își pot crește rapid ponderea datorită transmiterii verticale a religiei sau a normelor familiale, fără ca diferența să aibă o bază genetică. Un oraș își poate schimba profilul psihologic pentru că atrage migranți mai deschiși sau proactivi, nu pentru că îi „produce” genetic.</w:t>
      </w:r>
    </w:p>
    <w:p>
      <w:pPr>
        <w:widowControl/>
        <w:spacing w:after="124" w:line="264" w:lineRule="auto"/>
      </w:pPr>
      <w:r>
        <w:rPr>
          <w:rFonts w:ascii="Noto Serif" w:hAnsi="Noto Serif" w:eastAsia="Noto Serif"/>
          <w:sz w:val="20"/>
        </w:rPr>
        <w:t>A separa aceste mecanisme nu diminuează întrebarea evolutivă. Dimpotrivă, o face mai serioasă. Societatea modernă nu a oprit selecția. A mutat-o într-un labirint de instituții.</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VERDICTUL DOVEZILOR</w:t>
            </w:r>
            <w:r>
              <w:rPr>
                <w:rFonts w:ascii="Noto Sans" w:hAnsi="Noto Sans" w:eastAsia="Noto Sans"/>
                <w:b/>
                <w:color w:val="696969"/>
                <w:sz w:val="16"/>
              </w:rPr>
              <w:t xml:space="preserve">  SOLID, CU LIMITĂRI</w:t>
            </w:r>
          </w:p>
          <w:p>
            <w:pPr>
              <w:spacing w:after="20" w:line="252" w:lineRule="auto"/>
            </w:pPr>
            <w:r>
              <w:rPr>
                <w:rFonts w:ascii="Noto Serif" w:hAnsi="Noto Serif" w:eastAsia="Noto Serif"/>
                <w:sz w:val="19"/>
              </w:rPr>
              <w:t>Există selecție biologică detectabilă în populații umane moderne, inclusiv pe trăsături poligenice asociate cu reproducerea și educația. Dar efectele sunt mici și dependente de context. Din diferențe de fertilitate nu poate fi dedus direct un viitor genetic.</w:t>
            </w:r>
          </w:p>
        </w:tc>
      </w:tr>
    </w:tbl>
    <w:p>
      <w:pPr>
        <w:widowControl/>
        <w:spacing w:after="20"/>
      </w:pPr>
    </w:p>
    <w:p>
      <w:pPr>
        <w:widowControl/>
      </w:pPr>
      <w:r>
        <w:br w:type="page"/>
      </w:r>
    </w:p>
    <w:p>
      <w:pPr>
        <w:widowControl/>
        <w:spacing w:before="560" w:after="60"/>
      </w:pPr>
      <w:r>
        <w:rPr>
          <w:rFonts w:ascii="Noto Sans" w:hAnsi="Noto Sans" w:eastAsia="Noto Sans"/>
          <w:b/>
          <w:color w:val="5C5C5C"/>
          <w:sz w:val="18"/>
        </w:rPr>
        <w:t>CAPITOLUL 2</w:t>
      </w:r>
    </w:p>
    <w:p>
      <w:pPr>
        <w:keepNext/>
        <w:widowControl/>
        <w:spacing w:after="200"/>
      </w:pPr>
      <w:r>
        <w:rPr>
          <w:rFonts w:ascii="Noto Serif" w:hAnsi="Noto Serif" w:eastAsia="Noto Serif"/>
          <w:b/>
          <w:color w:val="202A30"/>
          <w:sz w:val="50"/>
        </w:rPr>
        <w:t>Marele paradox demografic</w:t>
      </w:r>
    </w:p>
    <w:p>
      <w:pPr>
        <w:widowControl/>
        <w:spacing w:after="400"/>
      </w:pPr>
      <w:r>
        <w:rPr>
          <w:rFonts w:ascii="Noto Serif" w:hAnsi="Noto Serif" w:eastAsia="Noto Serif"/>
          <w:i/>
          <w:color w:val="5A5A5A"/>
          <w:sz w:val="23"/>
        </w:rPr>
        <w:t>Nu dispărem mâine. Dar societățile care nu se reproduc își externalizează viitorul.</w:t>
      </w:r>
    </w:p>
    <w:p>
      <w:pPr>
        <w:widowControl/>
        <w:spacing w:after="124" w:line="264" w:lineRule="auto"/>
      </w:pPr>
      <w:r>
        <w:rPr>
          <w:rFonts w:ascii="Noto Serif" w:hAnsi="Noto Serif" w:eastAsia="Noto Serif"/>
          <w:sz w:val="20"/>
        </w:rPr>
        <w:t>În 1968, frica dominantă era explozia populației. În multe societăți bogate ale anului 2026, anxietatea s-a inversat. Coreea de Sud, Japonia, Italia, Spania și o parte mare a Europei trăiesc cu fertilitate persistent sub nivelul de înlocuire. China a trecut de la politica unui singur copil la încercări de stimulare a natalității. Pentru prima dată după mult timp, viitorul demografic este imaginat nu ca aglomerație, ci ca gol.</w:t>
      </w:r>
    </w:p>
    <w:p>
      <w:pPr>
        <w:widowControl/>
        <w:spacing w:after="124" w:line="264" w:lineRule="auto"/>
      </w:pPr>
      <w:r>
        <w:rPr>
          <w:rFonts w:ascii="Noto Serif" w:hAnsi="Noto Serif" w:eastAsia="Noto Serif"/>
          <w:sz w:val="20"/>
        </w:rPr>
        <w:t>La scară globală, însă, cuvântul „dispariție” este prematur. World Population Prospects 2024 al ONU estimează o creștere de la 8,2 miliarde în 2024 la circa 10,3 miliarde în anii 2080, urmată de o scădere lentă spre 10,2 miliarde în 2100. Fertilitatea mondială era estimată la 2,25. Așadar, specia nu se află într-o spirală demografică terminală în acest secol (UN DESA, 2024).</w:t>
      </w:r>
    </w:p>
    <w:p>
      <w:pPr>
        <w:widowControl/>
        <w:spacing w:after="124" w:line="264" w:lineRule="auto"/>
      </w:pPr>
      <w:r>
        <w:rPr>
          <w:rFonts w:ascii="Noto Serif" w:hAnsi="Noto Serif" w:eastAsia="Noto Serif"/>
          <w:sz w:val="20"/>
        </w:rPr>
        <w:t>Dar agregatul global ascunde două lumi. Unele regiuni îmbătrânesc și se contractă; altele rămân tinere și cresc. Modelul GBD 2021 proiectează o fertilitate globală de 1,59 în 2100 în scenariul său de referință, cu o concentrare tot mai mare a nașterilor în Africa subsahariană. ONU și GBD folosesc modele diferite, iar diferențele dintre proiecții sunt tocmai motivul pentru care ele nu trebuie citite ca destine. Ce este robust este schimbarea regimului demografic: familii mai mici, nașteri mai târzii, mai multă copilărie fără frați, mai multe persoane fără copii și o redistribuire geografică masivă a nașterilor.</w:t>
      </w:r>
    </w:p>
    <w:p>
      <w:pPr>
        <w:keepNext/>
        <w:widowControl/>
        <w:spacing w:before="240" w:after="100"/>
      </w:pPr>
      <w:r>
        <w:rPr>
          <w:rFonts w:ascii="Noto Sans" w:hAnsi="Noto Sans" w:eastAsia="Noto Sans"/>
          <w:b/>
          <w:color w:val="2D373C"/>
          <w:sz w:val="24"/>
        </w:rPr>
        <w:t>Pragul de înlocuire nu este o profeție</w:t>
      </w:r>
    </w:p>
    <w:p>
      <w:pPr>
        <w:widowControl/>
        <w:spacing w:after="124" w:line="264" w:lineRule="auto"/>
      </w:pPr>
      <w:r>
        <w:rPr>
          <w:rFonts w:ascii="Noto Serif" w:hAnsi="Noto Serif" w:eastAsia="Noto Serif"/>
          <w:sz w:val="20"/>
        </w:rPr>
        <w:t>Valoarea aproximativă 2,1 este adesea tratată ca un zid magic. Nu este. O populație cu fertilitate sub acest nivel poate continua să crească o perioadă datorită structurii de vârstă și migrației. O populație cu fertilitate peste prag poate scădea în anumite condiții de mortalitate și emigrație. Totuși, dacă o fertilitate net sub înlocuire se menține suficient de multe generații și nu există imigrație, aritmetica devine neiertătoare: fiecare generație este mai mică.</w:t>
      </w:r>
    </w:p>
    <w:p>
      <w:pPr>
        <w:widowControl/>
        <w:spacing w:after="124" w:line="264" w:lineRule="auto"/>
      </w:pPr>
      <w:r>
        <w:rPr>
          <w:rFonts w:ascii="Noto Serif" w:hAnsi="Noto Serif" w:eastAsia="Noto Serif"/>
          <w:sz w:val="20"/>
        </w:rPr>
        <w:t>Aceasta introduce un paradox politic. Societățile cu productivitate și capital uman foarte ridicate pot susține mult timp populații îmbătrânite. Automatizarea poate reduce nevoia de muncitori. Migrația poate compensa declinul local. Dar niciuna dintre aceste soluții nu răspunde complet întrebării evolutive: cine transmite mai departe normele, strategiile de viață și, într-o măsură mai mică, predispozițiile ereditare?</w:t>
      </w:r>
    </w:p>
    <w:p>
      <w:pPr>
        <w:widowControl/>
        <w:spacing w:after="124" w:line="264" w:lineRule="auto"/>
      </w:pPr>
      <w:r>
        <w:rPr>
          <w:rFonts w:ascii="Noto Serif" w:hAnsi="Noto Serif" w:eastAsia="Noto Serif"/>
          <w:sz w:val="20"/>
        </w:rPr>
        <w:t>Un oraș care nu își reproduce locuitorii poate rămâne vibrant prin import permanent de tineri. Demografic, el funcționează ca un bazin de atracție. Cultural, transformă migranții. Evolutiv, poate fi un „sink”: un mediu în care oamenii intră, au mai puțini copii decât ar fi avut în alte medii și sunt înlocuiți prin noi valuri de mobilitate. Această imagine nu este o condamnare a orașului; este un mod de a vedea că densitatea urbană poate fi susținută de un metabolism demografic extern.</w:t>
      </w:r>
    </w:p>
    <w:p>
      <w:pPr>
        <w:keepNext/>
        <w:widowControl/>
        <w:spacing w:before="240" w:after="100"/>
      </w:pPr>
      <w:r>
        <w:rPr>
          <w:rFonts w:ascii="Noto Sans" w:hAnsi="Noto Sans" w:eastAsia="Noto Sans"/>
          <w:b/>
          <w:color w:val="2D373C"/>
          <w:sz w:val="24"/>
        </w:rPr>
        <w:t>Dispar culturi înainte de a dispărea oameni</w:t>
      </w:r>
    </w:p>
    <w:p>
      <w:pPr>
        <w:widowControl/>
        <w:spacing w:after="124" w:line="264" w:lineRule="auto"/>
      </w:pPr>
      <w:r>
        <w:rPr>
          <w:rFonts w:ascii="Noto Serif" w:hAnsi="Noto Serif" w:eastAsia="Noto Serif"/>
          <w:sz w:val="20"/>
        </w:rPr>
        <w:t>O populație nu trebuie să ajungă la zero pentru ca ceva să se piardă. Limbi, rețele de rudenie, meșteșuguri, confesiuni, clase sociale și stiluri de viață se pot contracta până când nu mai sunt capabile de reproducere instituțională. O societate poate supraviețui numeric și totuși deveni o altă societate.</w:t>
      </w:r>
    </w:p>
    <w:p>
      <w:pPr>
        <w:widowControl/>
        <w:spacing w:after="124" w:line="264" w:lineRule="auto"/>
      </w:pPr>
      <w:r>
        <w:rPr>
          <w:rFonts w:ascii="Noto Serif" w:hAnsi="Noto Serif" w:eastAsia="Noto Serif"/>
          <w:sz w:val="20"/>
        </w:rPr>
        <w:t>Aceasta este prima schimbare filosofică pe care o propune cartea. Întrebarea utilă nu este „va dispărea omenirea?”, ci „care configurații sociale se pot reproduce fără constrângere și ce trăsături, norme și instituții devin mai frecvente atunci când unele configurații nu se reproduc?”</w:t>
      </w:r>
    </w:p>
    <w:p>
      <w:pPr>
        <w:widowControl/>
        <w:spacing w:after="124" w:line="264" w:lineRule="auto"/>
      </w:pPr>
      <w:r>
        <w:rPr>
          <w:rFonts w:ascii="Noto Serif" w:hAnsi="Noto Serif" w:eastAsia="Noto Serif"/>
          <w:sz w:val="20"/>
        </w:rPr>
        <w:t>Pentru o civilizație, fertilitatea nu este doar o statistică privată. Este mecanismul prin care prezentul primește drept de vot în viitor.</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DISTINCȚIE ESENȚIALĂ</w:t>
            </w:r>
            <w:r>
              <w:rPr>
                <w:rFonts w:ascii="Noto Sans" w:hAnsi="Noto Sans" w:eastAsia="Noto Sans"/>
                <w:b/>
                <w:color w:val="696969"/>
                <w:sz w:val="16"/>
              </w:rPr>
              <w:t xml:space="preserve">  FOARTE SOLID</w:t>
            </w:r>
          </w:p>
          <w:p>
            <w:pPr>
              <w:spacing w:after="20" w:line="252" w:lineRule="auto"/>
            </w:pPr>
            <w:r>
              <w:rPr>
                <w:rFonts w:ascii="Noto Serif" w:hAnsi="Noto Serif" w:eastAsia="Noto Serif"/>
                <w:sz w:val="19"/>
              </w:rPr>
              <w:t>Declin demografic local, schimbare de compoziție și extincție a speciei sunt fenomene diferite. Datele actuale susțin puternic primele două în multe regiuni; nu susțin o extincție globală iminentă.</w:t>
            </w:r>
          </w:p>
        </w:tc>
      </w:tr>
    </w:tbl>
    <w:p>
      <w:pPr>
        <w:widowControl/>
        <w:spacing w:after="20"/>
      </w:pPr>
    </w:p>
    <w:p>
      <w:pPr>
        <w:widowControl/>
      </w:pPr>
      <w:r>
        <w:br w:type="page"/>
      </w:r>
    </w:p>
    <w:p>
      <w:pPr>
        <w:widowControl/>
        <w:spacing w:before="560" w:after="60"/>
      </w:pPr>
      <w:r>
        <w:rPr>
          <w:rFonts w:ascii="Noto Sans" w:hAnsi="Noto Sans" w:eastAsia="Noto Sans"/>
          <w:b/>
          <w:color w:val="5C5C5C"/>
          <w:sz w:val="18"/>
        </w:rPr>
        <w:t>CAPITOLUL 3</w:t>
      </w:r>
    </w:p>
    <w:p>
      <w:pPr>
        <w:keepNext/>
        <w:widowControl/>
        <w:spacing w:after="200"/>
      </w:pPr>
      <w:r>
        <w:rPr>
          <w:rFonts w:ascii="Noto Serif" w:hAnsi="Noto Serif" w:eastAsia="Noto Serif"/>
          <w:b/>
          <w:color w:val="202A30"/>
          <w:sz w:val="50"/>
        </w:rPr>
        <w:t>Cine are copii?</w:t>
      </w:r>
    </w:p>
    <w:p>
      <w:pPr>
        <w:widowControl/>
        <w:spacing w:after="400"/>
      </w:pPr>
      <w:r>
        <w:rPr>
          <w:rFonts w:ascii="Noto Serif" w:hAnsi="Noto Serif" w:eastAsia="Noto Serif"/>
          <w:i/>
          <w:color w:val="5A5A5A"/>
          <w:sz w:val="23"/>
        </w:rPr>
        <w:t>Fertilitatea este locul în care valorile private întâlnesc arhitectura socială.</w:t>
      </w:r>
    </w:p>
    <w:p>
      <w:pPr>
        <w:widowControl/>
        <w:spacing w:after="124" w:line="264" w:lineRule="auto"/>
      </w:pPr>
      <w:r>
        <w:rPr>
          <w:rFonts w:ascii="Noto Serif" w:hAnsi="Noto Serif" w:eastAsia="Noto Serif"/>
          <w:sz w:val="20"/>
        </w:rPr>
        <w:t>În societățile cu contracepție eficientă, numărul de copii este mai puțin constrâns de biologie și mai mult mediat de decizii. Paradoxal, asta poate face selecția mai dependentă de psihologie și instituții, nu mai puțin.</w:t>
      </w:r>
    </w:p>
    <w:p>
      <w:pPr>
        <w:widowControl/>
        <w:spacing w:after="124" w:line="264" w:lineRule="auto"/>
      </w:pPr>
      <w:r>
        <w:rPr>
          <w:rFonts w:ascii="Noto Serif" w:hAnsi="Noto Serif" w:eastAsia="Noto Serif"/>
          <w:sz w:val="20"/>
        </w:rPr>
        <w:t>Există câteva regularități robuste. În Europa, fertilitatea este de regulă mai scăzută în regiunile urbane decât în cele rurale. Eurostat raporta pentru 2022 o rată totală de fertilitate de 1,39 în regiunile urbane ale UE, 1,49 în regiunile intermediare și 1,57 în cele rurale; în 19 din 23 de state cu date comparabile, urbanul era mai jos decât ruralul (Eurostat, 2024). Riederer și Beaujouan au arătat, folosind 1.328 de regiuni NUTS 3 din 28 de țări europene, că nașterile sunt și mai târzii în orașe; o mare parte din gradient se reduce când sunt introduse educația femeilor, bogăția, ocuparea în sectoare high-tech, normele familiale și compoziția populației (Riederer &amp; Beaujouan, 2024).</w:t>
      </w:r>
    </w:p>
    <w:p>
      <w:pPr>
        <w:widowControl/>
        <w:spacing w:after="124" w:line="264" w:lineRule="auto"/>
      </w:pPr>
      <w:r>
        <w:rPr>
          <w:rFonts w:ascii="Noto Serif" w:hAnsi="Noto Serif" w:eastAsia="Noto Serif"/>
          <w:sz w:val="20"/>
        </w:rPr>
        <w:t>Așadar, „orașul” nu este o substanță care sterilizează. Este un pachet: costuri de locuire, oportunități, educație prelungită, piețe matrimoniale mai mari, mobilitate, distanță față de rude, cariere competitive și norme mai individualizate. Când desfacem pachetul, efectul urban devine mai inteligibil.</w:t>
      </w:r>
    </w:p>
    <w:p>
      <w:pPr>
        <w:keepNext/>
        <w:widowControl/>
        <w:spacing w:before="240" w:after="100"/>
      </w:pPr>
      <w:r>
        <w:rPr>
          <w:rFonts w:ascii="Noto Sans" w:hAnsi="Noto Sans" w:eastAsia="Noto Sans"/>
          <w:b/>
          <w:color w:val="2D373C"/>
          <w:sz w:val="24"/>
        </w:rPr>
        <w:t>Personalitatea intră în ecuație, dar nu dictează rezultatul</w:t>
      </w:r>
    </w:p>
    <w:p>
      <w:pPr>
        <w:widowControl/>
        <w:spacing w:after="124" w:line="264" w:lineRule="auto"/>
      </w:pPr>
      <w:r>
        <w:rPr>
          <w:rFonts w:ascii="Noto Serif" w:hAnsi="Noto Serif" w:eastAsia="Noto Serif"/>
          <w:sz w:val="20"/>
        </w:rPr>
        <w:t>Studiile despre Big Five și fertilitate sunt fascinante tocmai pentru că nu oferă o poveste simplă. Într-o analiză a World Values Survey din 17 țări, conștiinciozitatea a avut, în medie, o asociere pozitivă cu numărul de copii. Deschiderea foarte ridicată a fost asociată cu mai puțini copii, dar efectele erau mici, iar pentru extraversie, nevrotism și deschidere coeficienții se schimbau de la pozitiv la negativ între țări (Sanz-García et al., 2025).</w:t>
      </w:r>
    </w:p>
    <w:p>
      <w:pPr>
        <w:widowControl/>
        <w:spacing w:after="124" w:line="264" w:lineRule="auto"/>
      </w:pPr>
      <w:r>
        <w:rPr>
          <w:rFonts w:ascii="Noto Serif" w:hAnsi="Noto Serif" w:eastAsia="Noto Serif"/>
          <w:sz w:val="20"/>
        </w:rPr>
        <w:t>Acest lucru este exact ce ne-am aștepta dacă instituțiile modifică „valoarea reproductivă” a unei trăsături. Conștiinciozitatea poate facilita organizarea unei familii într-un stat cu servicii bune și poate fi consumată de o carieră hipercompetitivă într-un altul. Deschiderea poate întârzia stabilirea într-un mediu în care mobilitatea și experimentarea sunt recompensate, dar poate crește șansele de a găsi parteneri compatibili într-un mediu divers. Nu există motiv teoretic pentru ca același gradient să fie universal.</w:t>
      </w:r>
    </w:p>
    <w:p>
      <w:pPr>
        <w:widowControl/>
        <w:spacing w:after="124" w:line="264" w:lineRule="auto"/>
      </w:pPr>
      <w:r>
        <w:rPr>
          <w:rFonts w:ascii="Noto Serif" w:hAnsi="Noto Serif" w:eastAsia="Noto Serif"/>
          <w:sz w:val="20"/>
        </w:rPr>
        <w:t>Și studiile istorice sau locale confirmă variabilitatea. În unele cohorte americane, deschiderea și, la femei, conștiinciozitatea au fost asociate cu fertilitate mai mică, în timp ce extraversia și agreabilitatea au avut unele asocieri pozitive. În populații cu fertilitate ridicată și economie de subzistență, cum este cazul unor comunități rurale din Senegal, relațiile dintre personalitate, statut, poliginie și succes reproductiv arată diferit. Contextul schimbă mecanismul.</w:t>
      </w:r>
    </w:p>
    <w:p>
      <w:pPr>
        <w:keepNext/>
        <w:widowControl/>
        <w:spacing w:before="240" w:after="100"/>
      </w:pPr>
      <w:r>
        <w:rPr>
          <w:rFonts w:ascii="Noto Sans" w:hAnsi="Noto Sans" w:eastAsia="Noto Sans"/>
          <w:b/>
          <w:color w:val="2D373C"/>
          <w:sz w:val="24"/>
        </w:rPr>
        <w:t>Copilul marginal</w:t>
      </w:r>
    </w:p>
    <w:p>
      <w:pPr>
        <w:widowControl/>
        <w:spacing w:after="124" w:line="264" w:lineRule="auto"/>
      </w:pPr>
      <w:r>
        <w:rPr>
          <w:rFonts w:ascii="Noto Serif" w:hAnsi="Noto Serif" w:eastAsia="Noto Serif"/>
          <w:sz w:val="20"/>
        </w:rPr>
        <w:t>Pentru selecție contează nu doar cine are sau nu are copii, ci și copilul marginal: diferența dintre unu și doi, doi și trei. A avea un copil poate fi compatibil cu aproape orice traseu profesional; a avea trei poate necesita locuință mai mare, venit stabil, bunici disponibili, flexibilitate a muncii și o normă socială care nu tratează familia numeroasă drept excentricitate.</w:t>
      </w:r>
    </w:p>
    <w:p>
      <w:pPr>
        <w:widowControl/>
        <w:spacing w:after="124" w:line="264" w:lineRule="auto"/>
      </w:pPr>
      <w:r>
        <w:rPr>
          <w:rFonts w:ascii="Noto Serif" w:hAnsi="Noto Serif" w:eastAsia="Noto Serif"/>
          <w:sz w:val="20"/>
        </w:rPr>
        <w:t>De aceea, politicile și infrastructura au potențial evolutiv chiar când nu urmăresc nimic biologic. O regulă de urbanism care face imposibil un apartament cu trei dormitoare aproape de locul de muncă poate afecta mai mult descendența unor strategii de viață decât o campanie pronatalistă. Un program de after-school de calitate poate schimba calculul celui de-al doilea copil. Munca la distanță poate rescrie geografia sprijinului familial.</w:t>
      </w:r>
    </w:p>
    <w:p>
      <w:pPr>
        <w:widowControl/>
        <w:spacing w:after="124" w:line="264" w:lineRule="auto"/>
      </w:pPr>
      <w:r>
        <w:rPr>
          <w:rFonts w:ascii="Noto Serif" w:hAnsi="Noto Serif" w:eastAsia="Noto Serif"/>
          <w:sz w:val="20"/>
        </w:rPr>
        <w:t>Selecția modernă intră, adesea, prin ușa banală a logisticii.</w:t>
      </w:r>
    </w:p>
    <w:p>
      <w:pPr>
        <w:widowControl/>
      </w:pPr>
      <w:r>
        <w:br w:type="page"/>
      </w:r>
    </w:p>
    <w:p>
      <w:pPr>
        <w:widowControl/>
        <w:spacing w:before="560" w:after="60"/>
      </w:pPr>
      <w:r>
        <w:rPr>
          <w:rFonts w:ascii="Noto Sans" w:hAnsi="Noto Sans" w:eastAsia="Noto Sans"/>
          <w:b/>
          <w:color w:val="5C5C5C"/>
          <w:sz w:val="18"/>
        </w:rPr>
        <w:t>CAPITOLUL 4</w:t>
      </w:r>
    </w:p>
    <w:p>
      <w:pPr>
        <w:keepNext/>
        <w:widowControl/>
        <w:spacing w:after="200"/>
      </w:pPr>
      <w:r>
        <w:rPr>
          <w:rFonts w:ascii="Noto Serif" w:hAnsi="Noto Serif" w:eastAsia="Noto Serif"/>
          <w:b/>
          <w:color w:val="202A30"/>
          <w:sz w:val="50"/>
        </w:rPr>
        <w:t>Cum transformă instituțiile preferințele în descendență</w:t>
      </w:r>
    </w:p>
    <w:p>
      <w:pPr>
        <w:widowControl/>
        <w:spacing w:after="400"/>
      </w:pPr>
      <w:r>
        <w:rPr>
          <w:rFonts w:ascii="Noto Serif" w:hAnsi="Noto Serif" w:eastAsia="Noto Serif"/>
          <w:i/>
          <w:color w:val="5A5A5A"/>
          <w:sz w:val="23"/>
        </w:rPr>
        <w:t>Mecanismele intermediare sunt mai importante decât etichetele.</w:t>
      </w:r>
    </w:p>
    <w:p>
      <w:pPr>
        <w:widowControl/>
        <w:spacing w:after="124" w:line="264" w:lineRule="auto"/>
      </w:pPr>
      <w:r>
        <w:rPr>
          <w:rFonts w:ascii="Noto Serif" w:hAnsi="Noto Serif" w:eastAsia="Noto Serif"/>
          <w:sz w:val="20"/>
        </w:rPr>
        <w:t>Să presupunem că două persoane au aceeași dorință declarată de a avea doi copii. Una trăiește într-o comunitate cu locuințe accesibile, bunici aproape, program previzibil și o cultură în care părinții sunt integrați în viața socială. Cealaltă trăiește într-o metropolă în care avansarea profesională cere mobilitate, chiriile cresc mai repede decât salariile, naveta consumă două ore pe zi, iar prietenii apropiați se mută frecvent. Preferința este aceeași. Probabilitatea de realizare nu este.</w:t>
      </w:r>
    </w:p>
    <w:p>
      <w:pPr>
        <w:widowControl/>
        <w:spacing w:after="124" w:line="264" w:lineRule="auto"/>
      </w:pPr>
      <w:r>
        <w:rPr>
          <w:rFonts w:ascii="Noto Serif" w:hAnsi="Noto Serif" w:eastAsia="Noto Serif"/>
          <w:sz w:val="20"/>
        </w:rPr>
        <w:t>Instituțiile transformă preferințele în descendență prin cel puțin cinci filtre.</w:t>
      </w:r>
    </w:p>
    <w:p>
      <w:pPr>
        <w:keepNext/>
        <w:widowControl/>
        <w:spacing w:before="240" w:after="100"/>
      </w:pPr>
      <w:r>
        <w:rPr>
          <w:rFonts w:ascii="Noto Sans" w:hAnsi="Noto Sans" w:eastAsia="Noto Sans"/>
          <w:b/>
          <w:color w:val="2D373C"/>
          <w:sz w:val="24"/>
        </w:rPr>
        <w:t>1. Piața partenerilor</w:t>
      </w:r>
    </w:p>
    <w:p>
      <w:pPr>
        <w:widowControl/>
        <w:spacing w:after="124" w:line="264" w:lineRule="auto"/>
      </w:pPr>
      <w:r>
        <w:rPr>
          <w:rFonts w:ascii="Noto Serif" w:hAnsi="Noto Serif" w:eastAsia="Noto Serif"/>
          <w:sz w:val="20"/>
        </w:rPr>
        <w:t>Dimensiunea și structura rețelei sociale determină cine se întâlnește cu cine. Universitățile, profesiile și platformele de dating produc assortative mating: oameni similari după educație, valori sau stil de viață se împerechează mai des decât ar dicta hazardul. Acest fenomen poate amplifica diferențe culturale și genetice, dar efectul depinde de trăsătura analizată.</w:t>
      </w:r>
    </w:p>
    <w:p>
      <w:pPr>
        <w:keepNext/>
        <w:widowControl/>
        <w:spacing w:before="240" w:after="100"/>
      </w:pPr>
      <w:r>
        <w:rPr>
          <w:rFonts w:ascii="Noto Sans" w:hAnsi="Noto Sans" w:eastAsia="Noto Sans"/>
          <w:b/>
          <w:color w:val="2D373C"/>
          <w:sz w:val="24"/>
        </w:rPr>
        <w:t>2. Calendarul</w:t>
      </w:r>
    </w:p>
    <w:p>
      <w:pPr>
        <w:widowControl/>
        <w:spacing w:after="124" w:line="264" w:lineRule="auto"/>
      </w:pPr>
      <w:r>
        <w:rPr>
          <w:rFonts w:ascii="Noto Serif" w:hAnsi="Noto Serif" w:eastAsia="Noto Serif"/>
          <w:sz w:val="20"/>
        </w:rPr>
        <w:t>Vârsta primei nașteri este una dintre cele mai puternice punți între educație, carieră și fertilitate finală. Studiul islandez al lui Kong arată tocmai această mediere parțială: scorul poligenic pentru educație era asociat cu reproducere mai târzie, iar aceasta explica o parte importantă a numărului mai mic de copii. În termeni evolutivi, timpul este o resursă.</w:t>
      </w:r>
    </w:p>
    <w:p>
      <w:pPr>
        <w:keepNext/>
        <w:widowControl/>
        <w:spacing w:before="240" w:after="100"/>
      </w:pPr>
      <w:r>
        <w:rPr>
          <w:rFonts w:ascii="Noto Sans" w:hAnsi="Noto Sans" w:eastAsia="Noto Sans"/>
          <w:b/>
          <w:color w:val="2D373C"/>
          <w:sz w:val="24"/>
        </w:rPr>
        <w:t>3. Costul de oportunitate</w:t>
      </w:r>
    </w:p>
    <w:p>
      <w:pPr>
        <w:widowControl/>
        <w:spacing w:after="124" w:line="264" w:lineRule="auto"/>
      </w:pPr>
      <w:r>
        <w:rPr>
          <w:rFonts w:ascii="Noto Serif" w:hAnsi="Noto Serif" w:eastAsia="Noto Serif"/>
          <w:sz w:val="20"/>
        </w:rPr>
        <w:t>Cu cât o societate concentrează mai mult capitalul uman în anii 25-40, cu atât conflictul dintre carieră și parentalitate devine mai scump. Aici nu este suficient să spunem „oamenii aleg cariera”. Alegerea este produsă de o arhitectură de recompense: promovări, granturi, tenure, start-up-uri, bonusuri, relocări. Unele sisteme pun exact fereastra biologică a fertilității în competiție cu fereastra profesională de maximă accelerare.</w:t>
      </w:r>
    </w:p>
    <w:p>
      <w:pPr>
        <w:keepNext/>
        <w:widowControl/>
        <w:spacing w:before="240" w:after="100"/>
      </w:pPr>
      <w:r>
        <w:rPr>
          <w:rFonts w:ascii="Noto Sans" w:hAnsi="Noto Sans" w:eastAsia="Noto Sans"/>
          <w:b/>
          <w:color w:val="2D373C"/>
          <w:sz w:val="24"/>
        </w:rPr>
        <w:t>4. Infrastructura de îngrijire</w:t>
      </w:r>
    </w:p>
    <w:p>
      <w:pPr>
        <w:widowControl/>
        <w:spacing w:after="124" w:line="264" w:lineRule="auto"/>
      </w:pPr>
      <w:r>
        <w:rPr>
          <w:rFonts w:ascii="Noto Serif" w:hAnsi="Noto Serif" w:eastAsia="Noto Serif"/>
          <w:sz w:val="20"/>
        </w:rPr>
        <w:t>Homo sapiens este o specie cu creștere cooperativă a copiilor. Bunicii, rudele, frații mai mari și comunitatea au contat mult timp. Familiile nucleare urbane încearcă uneori să comprime această rețea într-un cuplu de doi adulți, fiecare cu serviciu complet. Nu este surprinzător că al doilea sau al treilea copil devine costisitor.</w:t>
      </w:r>
    </w:p>
    <w:p>
      <w:pPr>
        <w:keepNext/>
        <w:widowControl/>
        <w:spacing w:before="240" w:after="100"/>
      </w:pPr>
      <w:r>
        <w:rPr>
          <w:rFonts w:ascii="Noto Sans" w:hAnsi="Noto Sans" w:eastAsia="Noto Sans"/>
          <w:b/>
          <w:color w:val="2D373C"/>
          <w:sz w:val="24"/>
        </w:rPr>
        <w:t>5. Prestigiul</w:t>
      </w:r>
    </w:p>
    <w:p>
      <w:pPr>
        <w:widowControl/>
        <w:spacing w:after="124" w:line="264" w:lineRule="auto"/>
      </w:pPr>
      <w:r>
        <w:rPr>
          <w:rFonts w:ascii="Noto Serif" w:hAnsi="Noto Serif" w:eastAsia="Noto Serif"/>
          <w:sz w:val="20"/>
        </w:rPr>
        <w:t>Comportamentele se reproduc cultural prin imitație. Dacă adulții cu statut ridicat au puțini sau niciun copil, iar succesul este vizibil tocmai prin libertatea de obligații familiale, se poate crea un feedback cultural. Invers, comunitățile în care parentalitatea este o sursă de statut și rețele sociale pot susține fertilități mai mari fără stimulente financiare masive.</w:t>
      </w:r>
    </w:p>
    <w:p>
      <w:pPr>
        <w:widowControl/>
        <w:spacing w:after="124" w:line="264" w:lineRule="auto"/>
      </w:pPr>
      <w:r>
        <w:rPr>
          <w:rFonts w:ascii="Noto Serif" w:hAnsi="Noto Serif" w:eastAsia="Noto Serif"/>
          <w:sz w:val="20"/>
        </w:rPr>
        <w:t>Aceste filtre sugerează un model mai bun decât „societatea selectează personalitatea X”. Societatea selectează compatibilități între trăsături și instituții. Persoana foarte deschisă și mobilă poate avea succes reproductiv într-un mediu în care comunitatea și serviciile îi reduc costul mobilității; poate avea fertilitate mică într-un mediu în care fiecare schimbare geografică rupe rețeaua de sprijin.</w:t>
      </w:r>
    </w:p>
    <w:p>
      <w:pPr>
        <w:widowControl/>
        <w:spacing w:before="120" w:after="160"/>
        <w:ind w:left="360" w:right="216"/>
      </w:pPr>
      <w:r>
        <w:rPr>
          <w:rFonts w:ascii="Noto Serif" w:hAnsi="Noto Serif" w:eastAsia="Noto Serif"/>
          <w:i/>
          <w:color w:val="474849"/>
          <w:sz w:val="22"/>
        </w:rPr>
        <w:t>O instituție este evolutivă atunci când schimbă sistematic cine reușește să transforme dorința de familie în familie reală.</w:t>
      </w:r>
    </w:p>
    <w:p>
      <w:pPr>
        <w:widowControl/>
        <w:spacing w:after="124" w:line="264" w:lineRule="auto"/>
      </w:pPr>
      <w:r>
        <w:rPr>
          <w:rFonts w:ascii="Noto Serif" w:hAnsi="Noto Serif" w:eastAsia="Noto Serif"/>
          <w:sz w:val="20"/>
        </w:rPr>
        <w:t>Această formulare are o consecință etică importantă. Nu trebuie să optimizăm populații după genotip sau profil psihologic. Putem, în schimb, proiecta instituții care reduc distorsiunile arbitrare: să nu fie necesar să alegi între educație și copii, între autonomie și comunitate, între oraș și familie. O societate pluralistă este, în acest sens, una care permite mai multor strategii de viață să se reproducă.</w:t>
      </w:r>
    </w:p>
    <w:p>
      <w:pPr>
        <w:widowControl/>
      </w:pPr>
      <w:r>
        <w:br w:type="page"/>
      </w:r>
    </w:p>
    <w:p>
      <w:pPr>
        <w:widowControl/>
        <w:spacing w:before="1800"/>
        <w:jc w:val="center"/>
      </w:pPr>
      <w:r>
        <w:rPr>
          <w:rFonts w:ascii="Noto Sans" w:hAnsi="Noto Sans" w:eastAsia="Noto Sans"/>
          <w:b/>
          <w:color w:val="696969"/>
          <w:sz w:val="19"/>
        </w:rPr>
        <w:t>PARTEA II</w:t>
      </w:r>
    </w:p>
    <w:p>
      <w:pPr>
        <w:widowControl/>
        <w:spacing w:before="160" w:after="240"/>
        <w:jc w:val="center"/>
      </w:pPr>
      <w:r>
        <w:rPr>
          <w:rFonts w:ascii="Noto Serif" w:hAnsi="Noto Serif" w:eastAsia="Noto Serif"/>
          <w:b/>
          <w:color w:val="1F2E36"/>
          <w:sz w:val="54"/>
        </w:rPr>
        <w:t>PERSONALITATEA ESTE O ECOLOGIE</w:t>
      </w:r>
    </w:p>
    <w:p>
      <w:pPr>
        <w:widowControl/>
        <w:jc w:val="center"/>
      </w:pPr>
      <w:r>
        <w:rPr>
          <w:rFonts w:ascii="Noto Serif" w:hAnsi="Noto Serif" w:eastAsia="Noto Serif"/>
          <w:i/>
          <w:color w:val="5A5A5A"/>
          <w:sz w:val="23"/>
        </w:rPr>
        <w:t>Oamenii diferă, dar felul în care măsurăm și combinăm diferențele depinde de lumea în care trăiesc.</w:t>
      </w:r>
    </w:p>
    <w:p>
      <w:pPr>
        <w:widowControl/>
      </w:pPr>
      <w:r>
        <w:br w:type="page"/>
      </w:r>
    </w:p>
    <w:p>
      <w:pPr>
        <w:widowControl/>
        <w:spacing w:before="560" w:after="60"/>
      </w:pPr>
      <w:r>
        <w:rPr>
          <w:rFonts w:ascii="Noto Sans" w:hAnsi="Noto Sans" w:eastAsia="Noto Sans"/>
          <w:b/>
          <w:color w:val="5C5C5C"/>
          <w:sz w:val="18"/>
        </w:rPr>
        <w:t>CAPITOLUL 5</w:t>
      </w:r>
    </w:p>
    <w:p>
      <w:pPr>
        <w:keepNext/>
        <w:widowControl/>
        <w:spacing w:after="200"/>
      </w:pPr>
      <w:r>
        <w:rPr>
          <w:rFonts w:ascii="Noto Serif" w:hAnsi="Noto Serif" w:eastAsia="Noto Serif"/>
          <w:b/>
          <w:color w:val="202A30"/>
          <w:sz w:val="50"/>
        </w:rPr>
        <w:t>Cât din personalitate este moștenit?</w:t>
      </w:r>
    </w:p>
    <w:p>
      <w:pPr>
        <w:widowControl/>
        <w:spacing w:after="400"/>
      </w:pPr>
      <w:r>
        <w:rPr>
          <w:rFonts w:ascii="Noto Serif" w:hAnsi="Noto Serif" w:eastAsia="Noto Serif"/>
          <w:i/>
          <w:color w:val="5A5A5A"/>
          <w:sz w:val="23"/>
        </w:rPr>
        <w:t>Heritabilitatea este reală. Determinismul este o eroare de categorie.</w:t>
      </w:r>
    </w:p>
    <w:p>
      <w:pPr>
        <w:widowControl/>
        <w:spacing w:after="124" w:line="264" w:lineRule="auto"/>
      </w:pPr>
      <w:r>
        <w:rPr>
          <w:rFonts w:ascii="Noto Serif" w:hAnsi="Noto Serif" w:eastAsia="Noto Serif"/>
          <w:sz w:val="20"/>
        </w:rPr>
        <w:t>Dacă vrem să discutăm selecția genetică a personalității, trebuie să trecem printr-un teren conceptual minat: heritabilitatea. Este una dintre statisticile cel mai ușor transformate într-o metafizică.</w:t>
      </w:r>
    </w:p>
    <w:p>
      <w:pPr>
        <w:widowControl/>
        <w:spacing w:after="124" w:line="264" w:lineRule="auto"/>
      </w:pPr>
      <w:r>
        <w:rPr>
          <w:rFonts w:ascii="Noto Serif" w:hAnsi="Noto Serif" w:eastAsia="Noto Serif"/>
          <w:sz w:val="20"/>
        </w:rPr>
        <w:t>Meta-analiza lui Vukasović și Bratko, care a sintetizat peste o sută de mii de participanți, estimează o heritabilitate medie a personalității în jur de 0,40. În studiile pe gemeni, estimarea medie era 0,47; în studiile de familie și adopție, 0,22. Diferența arată că metodologia contează și că cifra nu este un adevăr fix al speciei.</w:t>
      </w:r>
    </w:p>
    <w:p>
      <w:pPr>
        <w:widowControl/>
        <w:spacing w:after="124" w:line="264" w:lineRule="auto"/>
      </w:pPr>
      <w:r>
        <w:rPr>
          <w:rFonts w:ascii="Noto Serif" w:hAnsi="Noto Serif" w:eastAsia="Noto Serif"/>
          <w:sz w:val="20"/>
        </w:rPr>
        <w:t>Heritabilitatea răspunde la întrebarea: într-o populație concretă, în condițiile ei de mediu, cât din variația observată între indivizi este asociată statistic cu variația genetică? Nu răspunde la întrebarea: cât din personalitatea unei persoane este „genetică”? Și cu atât mai puțin la întrebarea: diferențele medii dintre două culturi sunt genetice?</w:t>
      </w:r>
    </w:p>
    <w:p>
      <w:pPr>
        <w:widowControl/>
        <w:spacing w:after="124" w:line="264" w:lineRule="auto"/>
      </w:pPr>
      <w:r>
        <w:rPr>
          <w:rFonts w:ascii="Noto Serif" w:hAnsi="Noto Serif" w:eastAsia="Noto Serif"/>
          <w:sz w:val="20"/>
        </w:rPr>
        <w:t>Un exemplu clasic ajută. Dacă toți copiii unei populații primesc aproape aceeași nutriție, variația genetică poate explica o proporție mare din variația în înălțime. Dacă schimbăm nutriția întregii populații, media înălțimii se poate modifica dramatic fără ca genele să se fi schimbat. O trăsătură poate fi foarte heritabilă și totuși foarte sensibilă la mediu.</w:t>
      </w:r>
    </w:p>
    <w:p>
      <w:pPr>
        <w:keepNext/>
        <w:widowControl/>
        <w:spacing w:before="240" w:after="100"/>
      </w:pPr>
      <w:r>
        <w:rPr>
          <w:rFonts w:ascii="Noto Sans" w:hAnsi="Noto Sans" w:eastAsia="Noto Sans"/>
          <w:b/>
          <w:color w:val="2D373C"/>
          <w:sz w:val="24"/>
        </w:rPr>
        <w:t>Personalitatea nu este un set de cinci gene</w:t>
      </w:r>
    </w:p>
    <w:p>
      <w:pPr>
        <w:widowControl/>
        <w:spacing w:after="124" w:line="264" w:lineRule="auto"/>
      </w:pPr>
      <w:r>
        <w:rPr>
          <w:rFonts w:ascii="Noto Serif" w:hAnsi="Noto Serif" w:eastAsia="Noto Serif"/>
          <w:sz w:val="20"/>
        </w:rPr>
        <w:t>Trăsăturile de personalitate sunt poligenice și dependente de dezvoltare. Mii de variante pot contribui cu efecte extrem de mici, iar experiențele timpurii, relațiile, stresul, boala, statutul, cultura și evenimentele de viață le modelează expresia. Chiar și stabilitatea personalității crește cu vârsta, dar nu ajunge la rigiditate.</w:t>
      </w:r>
    </w:p>
    <w:p>
      <w:pPr>
        <w:widowControl/>
        <w:spacing w:after="124" w:line="264" w:lineRule="auto"/>
      </w:pPr>
      <w:r>
        <w:rPr>
          <w:rFonts w:ascii="Noto Serif" w:hAnsi="Noto Serif" w:eastAsia="Noto Serif"/>
          <w:sz w:val="20"/>
        </w:rPr>
        <w:t>Studiile de mobilitate internațională oferă o imagine instructivă. Zimmermann și Neyer au urmărit studenți înainte, în timpul și după perioade de studiu în străinătate. Au găsit atât selecție - anumite profiluri de personalitate preziceau cine pleacă - cât și socializare: experiența internațională era asociată cu schimbări ulterioare în deschidere, agreabilitate și nevrotism, mediate parțial de schimbarea rețelelor de suport (Zimmermann &amp; Neyer, 2013). Așadar, populația unui oraș global poate arăta psihologic diferit prin două mecanisme simultane: atrage un anumit tip de om și apoi îl schimbă.</w:t>
      </w:r>
    </w:p>
    <w:p>
      <w:pPr>
        <w:keepNext/>
        <w:widowControl/>
        <w:spacing w:before="240" w:after="100"/>
      </w:pPr>
      <w:r>
        <w:rPr>
          <w:rFonts w:ascii="Noto Sans" w:hAnsi="Noto Sans" w:eastAsia="Noto Sans"/>
          <w:b/>
          <w:color w:val="2D373C"/>
          <w:sz w:val="24"/>
        </w:rPr>
        <w:t>Genele pot răspunde la cultură</w:t>
      </w:r>
    </w:p>
    <w:p>
      <w:pPr>
        <w:widowControl/>
        <w:spacing w:after="124" w:line="264" w:lineRule="auto"/>
      </w:pPr>
      <w:r>
        <w:rPr>
          <w:rFonts w:ascii="Noto Serif" w:hAnsi="Noto Serif" w:eastAsia="Noto Serif"/>
          <w:sz w:val="20"/>
        </w:rPr>
        <w:t>Gene-culture coevolution nu este o metaforă. Exemple clasice precum persistența lactazei arată că practicile culturale pot crea presiuni selective biologice. Dar trecerea de la lapte la personalitate este enormă. Pentru trăsături comportamentale complexe, arhitectura genetică este difuză, mediul este puternic, iar semnificația aceleiași predispoziții se schimbă în funcție de instituții.</w:t>
      </w:r>
    </w:p>
    <w:p>
      <w:pPr>
        <w:widowControl/>
        <w:spacing w:after="124" w:line="264" w:lineRule="auto"/>
      </w:pPr>
      <w:r>
        <w:rPr>
          <w:rFonts w:ascii="Noto Serif" w:hAnsi="Noto Serif" w:eastAsia="Noto Serif"/>
          <w:sz w:val="20"/>
        </w:rPr>
        <w:t>Acest lucru face viitorul mai puțin determinist, nu mai puțin evolutiv. Dacă o normă sau o politică poate schimba rapid relația dintre o predispoziție și succesul reproductiv, atunci designul social este parte a cauzalității biologice. Nu avem un „program genetic” care ne împinge spre o singură destinație. Avem o distribuție de predispoziții care intră în contact cu medii construite de noi.</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REGULĂ DE LECTURĂ</w:t>
            </w:r>
            <w:r>
              <w:rPr>
                <w:rFonts w:ascii="Noto Sans" w:hAnsi="Noto Sans" w:eastAsia="Noto Sans"/>
                <w:b/>
                <w:color w:val="696969"/>
                <w:sz w:val="16"/>
              </w:rPr>
              <w:t xml:space="preserve">  CONCEPT FUNDAMENTAL</w:t>
            </w:r>
          </w:p>
          <w:p>
            <w:pPr>
              <w:spacing w:after="20" w:line="252" w:lineRule="auto"/>
            </w:pPr>
            <w:r>
              <w:rPr>
                <w:rFonts w:ascii="Noto Serif" w:hAnsi="Noto Serif" w:eastAsia="Noto Serif"/>
                <w:sz w:val="19"/>
              </w:rPr>
              <w:t>O trăsătură poate fi heritabilă în interiorul fiecărei populații și diferența medie dintre două populații să fie totuși complet de mediu. Heritabilitatea nu explică automat diferențele dintre grupuri.</w:t>
            </w:r>
          </w:p>
        </w:tc>
      </w:tr>
    </w:tbl>
    <w:p>
      <w:pPr>
        <w:widowControl/>
        <w:spacing w:after="20"/>
      </w:pPr>
    </w:p>
    <w:p>
      <w:pPr>
        <w:widowControl/>
      </w:pPr>
      <w:r>
        <w:br w:type="page"/>
      </w:r>
    </w:p>
    <w:p>
      <w:pPr>
        <w:widowControl/>
        <w:spacing w:before="560" w:after="60"/>
      </w:pPr>
      <w:r>
        <w:rPr>
          <w:rFonts w:ascii="Noto Sans" w:hAnsi="Noto Sans" w:eastAsia="Noto Sans"/>
          <w:b/>
          <w:color w:val="5C5C5C"/>
          <w:sz w:val="18"/>
        </w:rPr>
        <w:t>CAPITOLUL 6</w:t>
      </w:r>
    </w:p>
    <w:p>
      <w:pPr>
        <w:keepNext/>
        <w:widowControl/>
        <w:spacing w:after="200"/>
      </w:pPr>
      <w:r>
        <w:rPr>
          <w:rFonts w:ascii="Noto Serif" w:hAnsi="Noto Serif" w:eastAsia="Noto Serif"/>
          <w:b/>
          <w:color w:val="202A30"/>
          <w:sz w:val="50"/>
        </w:rPr>
        <w:t>Big Five și problema unei rigle universale</w:t>
      </w:r>
    </w:p>
    <w:p>
      <w:pPr>
        <w:widowControl/>
        <w:spacing w:after="400"/>
      </w:pPr>
      <w:r>
        <w:rPr>
          <w:rFonts w:ascii="Noto Serif" w:hAnsi="Noto Serif" w:eastAsia="Noto Serif"/>
          <w:i/>
          <w:color w:val="5A5A5A"/>
          <w:sz w:val="23"/>
        </w:rPr>
        <w:t>Uneori diferența dintre culturi se află în oameni. Alteori se află în instrument.</w:t>
      </w:r>
    </w:p>
    <w:p>
      <w:pPr>
        <w:widowControl/>
        <w:spacing w:after="124" w:line="264" w:lineRule="auto"/>
      </w:pPr>
      <w:r>
        <w:rPr>
          <w:rFonts w:ascii="Noto Serif" w:hAnsi="Noto Serif" w:eastAsia="Noto Serif"/>
          <w:sz w:val="20"/>
        </w:rPr>
        <w:t>O carte despre diferențe culturale de personalitate ar putea fi foarte ușor scrisă și foarte ușor greșită. Am putea lua scorurile medii de extraversie, agreabilitate, conștiinciozitate, nevrotism și deschidere din zeci de țări, apoi am spune: această cultură este mai disciplinată, cealaltă mai anxioasă, alta mai deschisă. Ar rezulta grafice elegante și concluzii fragile.</w:t>
      </w:r>
    </w:p>
    <w:p>
      <w:pPr>
        <w:widowControl/>
        <w:spacing w:after="124" w:line="264" w:lineRule="auto"/>
      </w:pPr>
      <w:r>
        <w:rPr>
          <w:rFonts w:ascii="Noto Serif" w:hAnsi="Noto Serif" w:eastAsia="Noto Serif"/>
          <w:sz w:val="20"/>
        </w:rPr>
        <w:t>Problema se numește invarianta măsurării. Pentru a compara mediile a două populații, instrumentul trebuie să măsoare același construct pe aceeași scală. O revizuire de amploare publicată în 2026 a analizat 233 de publicații despre evaluarea personalității în culturi diferite și nu a găsit niciun instrument cu dovadă de invarianta scalară completă la nivel cross-cultural. NEO-PI-R și IPIP-NEO-120 au avut printre cele mai bune dovezi, dar autorii avertizează explicit împotriva inferențelor simple despre diferențe de medie între culturi (Sheppard et al., 2026).</w:t>
      </w:r>
    </w:p>
    <w:p>
      <w:pPr>
        <w:widowControl/>
        <w:spacing w:after="124" w:line="264" w:lineRule="auto"/>
      </w:pPr>
      <w:r>
        <w:rPr>
          <w:rFonts w:ascii="Noto Serif" w:hAnsi="Noto Serif" w:eastAsia="Noto Serif"/>
          <w:sz w:val="20"/>
        </w:rPr>
        <w:t>Aceasta nu înseamnă că toate comparațiile sunt imposibile. Înseamnă că trebuie să acordăm instrumentului aceeași suspiciune pe care o acordăm fenomenului.</w:t>
      </w:r>
    </w:p>
    <w:p>
      <w:pPr>
        <w:keepNext/>
        <w:widowControl/>
        <w:spacing w:before="240" w:after="100"/>
      </w:pPr>
      <w:r>
        <w:rPr>
          <w:rFonts w:ascii="Noto Sans" w:hAnsi="Noto Sans" w:eastAsia="Noto Sans"/>
          <w:b/>
          <w:color w:val="2D373C"/>
          <w:sz w:val="24"/>
        </w:rPr>
        <w:t>Stereotipul nu este media</w:t>
      </w:r>
    </w:p>
    <w:p>
      <w:pPr>
        <w:widowControl/>
        <w:spacing w:after="124" w:line="264" w:lineRule="auto"/>
      </w:pPr>
      <w:r>
        <w:rPr>
          <w:rFonts w:ascii="Noto Serif" w:hAnsi="Noto Serif" w:eastAsia="Noto Serif"/>
          <w:sz w:val="20"/>
        </w:rPr>
        <w:t>Un rezultat remarcabil din 2005 a comparat stereotipurile despre „caracterul național” cu personalitatea măsurată în 49 de culturi. Stereotipurile erau consensuale, dar aproape nu corelau cu mediile obținute prin autoevaluări și evaluări de observatori: corelația mediană era aproximativ 0,04 (Terracciano et al., 2005). Oamenii pot fi foarte de acord despre „cum sunt italienii”, „cum sunt japonezii” sau „cum sunt românii” și totuși consensul să nu fie o descriere psihometrică bună.</w:t>
      </w:r>
    </w:p>
    <w:p>
      <w:pPr>
        <w:widowControl/>
        <w:spacing w:after="124" w:line="264" w:lineRule="auto"/>
      </w:pPr>
      <w:r>
        <w:rPr>
          <w:rFonts w:ascii="Noto Serif" w:hAnsi="Noto Serif" w:eastAsia="Noto Serif"/>
          <w:sz w:val="20"/>
        </w:rPr>
        <w:t>Acesta este un avertisment pentru capitolele despre China și India. Vom discuta diferențe statistice și structuri culturale, dar nu vom transforma civilizațiile în persoane.</w:t>
      </w:r>
    </w:p>
    <w:p>
      <w:pPr>
        <w:keepNext/>
        <w:widowControl/>
        <w:spacing w:before="240" w:after="100"/>
      </w:pPr>
      <w:r>
        <w:rPr>
          <w:rFonts w:ascii="Noto Sans" w:hAnsi="Noto Sans" w:eastAsia="Noto Sans"/>
          <w:b/>
          <w:color w:val="2D373C"/>
          <w:sz w:val="24"/>
        </w:rPr>
        <w:t>Big Five poate fi real fără a fi complet universal</w:t>
      </w:r>
    </w:p>
    <w:p>
      <w:pPr>
        <w:widowControl/>
        <w:spacing w:after="124" w:line="264" w:lineRule="auto"/>
      </w:pPr>
      <w:r>
        <w:rPr>
          <w:rFonts w:ascii="Noto Serif" w:hAnsi="Noto Serif" w:eastAsia="Noto Serif"/>
          <w:sz w:val="20"/>
        </w:rPr>
        <w:t>Big Five este un model extraordinar de util în populații industrializate și a fost replicat în multe limbi. Dar „cinci” poate fi parțial o consecință a tipului de nișe sociale în care oamenii trăiesc. La Tsimane, o populație de horticultori și forageri din Amazonul bolivian, Gurven și colaboratorii nu au reprodus robust structura Big Five nici în autoevaluări, nici în evaluările soților. Datele sugerau mai degrabă două dimensiuni largi, apropiate de prosocialitate și hărnicie (Gurven et al., 2013).</w:t>
      </w:r>
    </w:p>
    <w:p>
      <w:pPr>
        <w:widowControl/>
        <w:spacing w:after="124" w:line="264" w:lineRule="auto"/>
      </w:pPr>
      <w:r>
        <w:rPr>
          <w:rFonts w:ascii="Noto Serif" w:hAnsi="Noto Serif" w:eastAsia="Noto Serif"/>
          <w:sz w:val="20"/>
        </w:rPr>
        <w:t>Ulterior, Smaldino și colaboratorii au propus ipoteza diversității de nișe: societățile complexe oferă multe roluri și combinații de comportamente viabile; această diversitate reduce covarianța dintre trăsături și face să apară mai multe dimensiuni statistice. Un test ulterior pe 115 națiuni și 685.089 de persoane a găsit că diversitatea nișelor era asociată cu covarianță mai mică între trăsături și o dimensionalitate mai mare a personalității (Smaldino et al., 2019; Lukaszewski et al., 2022).</w:t>
      </w:r>
    </w:p>
    <w:p>
      <w:pPr>
        <w:widowControl/>
        <w:spacing w:after="124" w:line="264" w:lineRule="auto"/>
      </w:pPr>
      <w:r>
        <w:rPr>
          <w:rFonts w:ascii="Noto Serif" w:hAnsi="Noto Serif" w:eastAsia="Noto Serif"/>
          <w:sz w:val="20"/>
        </w:rPr>
        <w:t>Aici apare unul dintre cele mai puternice insight-uri ale cărții: o societate complexă poate produce impresia unei diversități psihologice mai mari nu pentru că mutațiile au creat brusc oameni noi, ci pentru că există mai multe moduri stabile de a fi om. Un sat în care aproape toți adulții trebuie să fie simultan muncitori, rude, îngrijitori și negociatori poate favoriza pachete comportamentale coerente. O metropolă permite specialistului genial, introvertit și dezordonat să supraviețuiască profesional alături de managerul hiper-social, artistul nomad și contabilul extrem de conștiincios.</w:t>
      </w:r>
    </w:p>
    <w:p>
      <w:pPr>
        <w:widowControl/>
        <w:spacing w:after="124" w:line="264" w:lineRule="auto"/>
      </w:pPr>
      <w:r>
        <w:rPr>
          <w:rFonts w:ascii="Noto Serif" w:hAnsi="Noto Serif" w:eastAsia="Noto Serif"/>
          <w:sz w:val="20"/>
        </w:rPr>
        <w:t>Complexitatea instituțională poate, prin urmare, conserva diversitatea. Această idee va conta enorm când vom discuta viitorul tribal versus megapolis.</w:t>
      </w:r>
    </w:p>
    <w:p>
      <w:pPr>
        <w:widowControl/>
      </w:pPr>
      <w:r>
        <w:br w:type="page"/>
      </w:r>
    </w:p>
    <w:p>
      <w:pPr>
        <w:widowControl/>
        <w:spacing w:before="560" w:after="60"/>
      </w:pPr>
      <w:r>
        <w:rPr>
          <w:rFonts w:ascii="Noto Sans" w:hAnsi="Noto Sans" w:eastAsia="Noto Sans"/>
          <w:b/>
          <w:color w:val="5C5C5C"/>
          <w:sz w:val="18"/>
        </w:rPr>
        <w:t>CAPITOLUL 7</w:t>
      </w:r>
    </w:p>
    <w:p>
      <w:pPr>
        <w:keepNext/>
        <w:widowControl/>
        <w:spacing w:after="200"/>
      </w:pPr>
      <w:r>
        <w:rPr>
          <w:rFonts w:ascii="Noto Serif" w:hAnsi="Noto Serif" w:eastAsia="Noto Serif"/>
          <w:b/>
          <w:color w:val="202A30"/>
          <w:sz w:val="50"/>
        </w:rPr>
        <w:t>Satul, statul și birocratul</w:t>
      </w:r>
    </w:p>
    <w:p>
      <w:pPr>
        <w:widowControl/>
        <w:spacing w:after="400"/>
      </w:pPr>
      <w:r>
        <w:rPr>
          <w:rFonts w:ascii="Noto Serif" w:hAnsi="Noto Serif" w:eastAsia="Noto Serif"/>
          <w:i/>
          <w:color w:val="5A5A5A"/>
          <w:sz w:val="23"/>
        </w:rPr>
        <w:t>Instituțiile nu au personalitate, dar recompensează personalități.</w:t>
      </w:r>
    </w:p>
    <w:p>
      <w:pPr>
        <w:widowControl/>
        <w:spacing w:after="124" w:line="264" w:lineRule="auto"/>
      </w:pPr>
      <w:r>
        <w:rPr>
          <w:rFonts w:ascii="Noto Serif" w:hAnsi="Noto Serif" w:eastAsia="Noto Serif"/>
          <w:sz w:val="20"/>
        </w:rPr>
        <w:t>O comunitate de o sută de persoane și un stat de o sută de milioane nu sunt aceeași problemă la scară diferită. Ele cer tehnologii sociale diferite.</w:t>
      </w:r>
    </w:p>
    <w:p>
      <w:pPr>
        <w:widowControl/>
        <w:spacing w:after="124" w:line="264" w:lineRule="auto"/>
      </w:pPr>
      <w:r>
        <w:rPr>
          <w:rFonts w:ascii="Noto Serif" w:hAnsi="Noto Serif" w:eastAsia="Noto Serif"/>
          <w:sz w:val="20"/>
        </w:rPr>
        <w:t>În grupuri mici, reputația este densă. O promisiune încălcată circulă repede. Rudenia și relațiile repetate substituie contracte. Ambiguitatea poate fi rezolvată prin cunoaștere personală. În societăți mari, trebuie să cooperezi cu necunoscuți. Aici apar documentul, regula abstractă, procedura, auditul, registrul și birocratul.</w:t>
      </w:r>
    </w:p>
    <w:p>
      <w:pPr>
        <w:widowControl/>
        <w:spacing w:after="124" w:line="264" w:lineRule="auto"/>
      </w:pPr>
      <w:r>
        <w:rPr>
          <w:rFonts w:ascii="Noto Serif" w:hAnsi="Noto Serif" w:eastAsia="Noto Serif"/>
          <w:sz w:val="20"/>
        </w:rPr>
        <w:t>Este tentant să spunem că civilizațiile vechi au „selectat genetic” obediența, răbdarea sau conformismul. Dovezile pentru o astfel de afirmație sunt slabe. Ceea ce putem spune mai sigur este că instituțiile selectează cultural și profesional comportamente compatibile cu ele. Examinările favorizează anumite competențe; armatele favorizează disciplină; piețele antreprenoriale recompensează inițiativă și toleranță la risc; administrațiile recompensează predictibilitate și capacitatea de a opera cu reguli abstracte.</w:t>
      </w:r>
    </w:p>
    <w:p>
      <w:pPr>
        <w:widowControl/>
        <w:spacing w:after="124" w:line="264" w:lineRule="auto"/>
      </w:pPr>
      <w:r>
        <w:rPr>
          <w:rFonts w:ascii="Noto Serif" w:hAnsi="Noto Serif" w:eastAsia="Noto Serif"/>
          <w:sz w:val="20"/>
        </w:rPr>
        <w:t>Aceste sisteme pot avea efecte reproductive doar dacă succesul în ele se leagă sistematic de formarea familiei și numărul de copii. În unele epoci, statutul birocratic sau proprietatea creșteau fertilitatea. În altele, educația lungă și cariera administrativ-profesională o întârzie. Același tip de instituție poate schimba semnul selecției în timp.</w:t>
      </w:r>
    </w:p>
    <w:p>
      <w:pPr>
        <w:keepNext/>
        <w:widowControl/>
        <w:spacing w:before="240" w:after="100"/>
      </w:pPr>
      <w:r>
        <w:rPr>
          <w:rFonts w:ascii="Noto Sans" w:hAnsi="Noto Sans" w:eastAsia="Noto Sans"/>
          <w:b/>
          <w:color w:val="2D373C"/>
          <w:sz w:val="24"/>
        </w:rPr>
        <w:t>Culturi strânse și culturi relaxate</w:t>
      </w:r>
    </w:p>
    <w:p>
      <w:pPr>
        <w:widowControl/>
        <w:spacing w:after="124" w:line="264" w:lineRule="auto"/>
      </w:pPr>
      <w:r>
        <w:rPr>
          <w:rFonts w:ascii="Noto Serif" w:hAnsi="Noto Serif" w:eastAsia="Noto Serif"/>
          <w:sz w:val="20"/>
        </w:rPr>
        <w:t>Studiul clasic al lui Michele Gelfand și colaboratorilor pe 33 de națiuni a introdus o axă utilă: tightness-looseness. Culturile „strânse” au norme puternice și toleranță mică pentru devianță; culturile „relaxate” au norme mai slabe și toleranță mai mare. În modelul lor, tightness era asociată cu amenințări istorice și ecologice, precum densitate ridicată, penurie de resurse, conflict teritorial și boli, împreună cu instituții mai restrictive și o nevoie psihologică mai mare de structură (Gelfand et al., 2011).</w:t>
      </w:r>
    </w:p>
    <w:p>
      <w:pPr>
        <w:widowControl/>
        <w:spacing w:after="124" w:line="264" w:lineRule="auto"/>
      </w:pPr>
      <w:r>
        <w:rPr>
          <w:rFonts w:ascii="Noto Serif" w:hAnsi="Noto Serif" w:eastAsia="Noto Serif"/>
          <w:sz w:val="20"/>
        </w:rPr>
        <w:t>Nu trebuie să citim această axă ca o scară de la rău la bine. Într-un mediu cu risc epidemiologic sau militar mare, conformitatea poate fi adaptativă la nivel colectiv. Într-un mediu stabil, toleranța față de devianță poate produce inovație și explorare. Problema viitorului este că tehnologia poate combina simultan amenințări globale și posibilități individuale enorme. Ce grad de tightness va fi funcțional?</w:t>
      </w:r>
    </w:p>
    <w:p>
      <w:pPr>
        <w:keepNext/>
        <w:widowControl/>
        <w:spacing w:before="240" w:after="100"/>
      </w:pPr>
      <w:r>
        <w:rPr>
          <w:rFonts w:ascii="Noto Sans" w:hAnsi="Noto Sans" w:eastAsia="Noto Sans"/>
          <w:b/>
          <w:color w:val="2D373C"/>
          <w:sz w:val="24"/>
        </w:rPr>
        <w:t>Birocrația ca nișă</w:t>
      </w:r>
    </w:p>
    <w:p>
      <w:pPr>
        <w:widowControl/>
        <w:spacing w:after="124" w:line="264" w:lineRule="auto"/>
      </w:pPr>
      <w:r>
        <w:rPr>
          <w:rFonts w:ascii="Noto Serif" w:hAnsi="Noto Serif" w:eastAsia="Noto Serif"/>
          <w:sz w:val="20"/>
        </w:rPr>
        <w:t>Birocrațiile moderne fac ceva subtil: externalizează în proceduri o parte din încrederea care, într-un sat, stă în relații. Aceasta permite cooperarea la scară extraordinară. Dar poate și separa competența socială de consecințe. Un om poate lua decizii care afectează mii de necunoscuți fără feedback reputațional direct. În sensul acesta, instituția schimbă ecologia unor trăsături precum empatia, conformismul, dominanța sau scrupulozitatea.</w:t>
      </w:r>
    </w:p>
    <w:p>
      <w:pPr>
        <w:widowControl/>
        <w:spacing w:after="124" w:line="264" w:lineRule="auto"/>
      </w:pPr>
      <w:r>
        <w:rPr>
          <w:rFonts w:ascii="Noto Serif" w:hAnsi="Noto Serif" w:eastAsia="Noto Serif"/>
          <w:sz w:val="20"/>
        </w:rPr>
        <w:t>Întrebarea empirică nu este „birocrația produce psihopați?”, o formulare senzaționalistă, ci „ce combinații de trăsături sunt recompensate, eliminate sau protejate de diferite arhitecturi organizaționale?” Un sistem cu audit, transparență și decizii colegiale poate limita exploatarea interpersonală. Un sistem opac, foarte ierarhic, poate transforma lipsa de remușcare într-un avantaj local. Instituția poate modifica fitnessul cultural al unei strategii fără să schimbe imediat frecvența unei predispoziții genetice.</w:t>
      </w:r>
    </w:p>
    <w:p>
      <w:pPr>
        <w:widowControl/>
        <w:spacing w:after="124" w:line="264" w:lineRule="auto"/>
      </w:pPr>
      <w:r>
        <w:rPr>
          <w:rFonts w:ascii="Noto Serif" w:hAnsi="Noto Serif" w:eastAsia="Noto Serif"/>
          <w:sz w:val="20"/>
        </w:rPr>
        <w:t>Aici se întâlnesc filosofia politică și evoluția: constituțiile sunt și mecanisme de ecologie comportamentală.</w:t>
      </w:r>
    </w:p>
    <w:p>
      <w:pPr>
        <w:widowControl/>
      </w:pPr>
      <w:r>
        <w:br w:type="page"/>
      </w:r>
    </w:p>
    <w:p>
      <w:pPr>
        <w:widowControl/>
        <w:spacing w:before="560" w:after="60"/>
      </w:pPr>
      <w:r>
        <w:rPr>
          <w:rFonts w:ascii="Noto Sans" w:hAnsi="Noto Sans" w:eastAsia="Noto Sans"/>
          <w:b/>
          <w:color w:val="5C5C5C"/>
          <w:sz w:val="18"/>
        </w:rPr>
        <w:t>CAPITOLUL 8</w:t>
      </w:r>
    </w:p>
    <w:p>
      <w:pPr>
        <w:keepNext/>
        <w:widowControl/>
        <w:spacing w:after="200"/>
      </w:pPr>
      <w:r>
        <w:rPr>
          <w:rFonts w:ascii="Noto Serif" w:hAnsi="Noto Serif" w:eastAsia="Noto Serif"/>
          <w:b/>
          <w:color w:val="202A30"/>
          <w:sz w:val="50"/>
        </w:rPr>
        <w:t>China: o civilizație, multe psihologii</w:t>
      </w:r>
    </w:p>
    <w:p>
      <w:pPr>
        <w:widowControl/>
        <w:spacing w:after="400"/>
      </w:pPr>
      <w:r>
        <w:rPr>
          <w:rFonts w:ascii="Noto Serif" w:hAnsi="Noto Serif" w:eastAsia="Noto Serif"/>
          <w:i/>
          <w:color w:val="5A5A5A"/>
          <w:sz w:val="23"/>
        </w:rPr>
        <w:t>Vechimea istorică nu este o explicație. Instituțiile, ecologia și rudenia pot fi.</w:t>
      </w:r>
    </w:p>
    <w:p>
      <w:pPr>
        <w:widowControl/>
        <w:spacing w:after="124" w:line="264" w:lineRule="auto"/>
      </w:pPr>
      <w:r>
        <w:rPr>
          <w:rFonts w:ascii="Noto Serif" w:hAnsi="Noto Serif" w:eastAsia="Noto Serif"/>
          <w:sz w:val="20"/>
        </w:rPr>
        <w:t>China este cazul ideal pentru a demonstra cât de repede devine toxică noțiunea de „personalitate a unei civilizații”. Peste un miliard de oameni, sute de milioane de migranți interni, diferențe enorme între coastă și interior, urban și rural, generații educate înainte și după liberalizare: orice medie națională este o comprimare brutală.</w:t>
      </w:r>
    </w:p>
    <w:p>
      <w:pPr>
        <w:widowControl/>
        <w:spacing w:after="124" w:line="264" w:lineRule="auto"/>
      </w:pPr>
      <w:r>
        <w:rPr>
          <w:rFonts w:ascii="Noto Serif" w:hAnsi="Noto Serif" w:eastAsia="Noto Serif"/>
          <w:sz w:val="20"/>
        </w:rPr>
        <w:t>Și totuși, China oferă experimente naturale valoroase tocmai pentru că multe diferențe istorice și ecologice există în interiorul unei populații largi cu limbă, stat și istorie parțial comune.</w:t>
      </w:r>
    </w:p>
    <w:p>
      <w:pPr>
        <w:keepNext/>
        <w:widowControl/>
        <w:spacing w:before="240" w:after="100"/>
      </w:pPr>
      <w:r>
        <w:rPr>
          <w:rFonts w:ascii="Noto Sans" w:hAnsi="Noto Sans" w:eastAsia="Noto Sans"/>
          <w:b/>
          <w:color w:val="2D373C"/>
          <w:sz w:val="24"/>
        </w:rPr>
        <w:t>Orezul și grâul: ipoteză elegantă, dovadă disputată</w:t>
      </w:r>
    </w:p>
    <w:p>
      <w:pPr>
        <w:widowControl/>
        <w:spacing w:after="124" w:line="264" w:lineRule="auto"/>
      </w:pPr>
      <w:r>
        <w:rPr>
          <w:rFonts w:ascii="Noto Serif" w:hAnsi="Noto Serif" w:eastAsia="Noto Serif"/>
          <w:sz w:val="20"/>
        </w:rPr>
        <w:t>În 2014, Thomas Talhelm și colaboratorii au testat 1.162 de chinezi Han în șase situri și au raportat că regiunile istorice de cultivare a orezului din sud prezentau mai multă interdependență și gândire holistică decât regiunile de grâu din nord. Explicația era cooperarea intensivă necesară irigației și cultivării orezului (Talhelm et al., 2014).</w:t>
      </w:r>
    </w:p>
    <w:p>
      <w:pPr>
        <w:widowControl/>
        <w:spacing w:after="124" w:line="264" w:lineRule="auto"/>
      </w:pPr>
      <w:r>
        <w:rPr>
          <w:rFonts w:ascii="Noto Serif" w:hAnsi="Noto Serif" w:eastAsia="Noto Serif"/>
          <w:sz w:val="20"/>
        </w:rPr>
        <w:t>Povestea este seducătoare: tehnologia agricolă -&gt; instituții locale -&gt; psihologie. Dar o critică din 2015 a arătat că rezultate importante slăbesc sau dispar după corecții pentru bias de eșantion, eroare de măsurare și specificarea modelului, iar date alternative despre colectivism nu reproduceau relația așteptată (Ruan, Xie &amp; Zhang, 2015). Lecția nu este că agricultura nu contează. Lecția este că teoriile culturale frumoase trebuie tratate ca teorii falsificabile, nu ca mituri explicative.</w:t>
      </w:r>
    </w:p>
    <w:p>
      <w:pPr>
        <w:keepNext/>
        <w:widowControl/>
        <w:spacing w:before="240" w:after="100"/>
      </w:pPr>
      <w:r>
        <w:rPr>
          <w:rFonts w:ascii="Noto Sans" w:hAnsi="Noto Sans" w:eastAsia="Noto Sans"/>
          <w:b/>
          <w:color w:val="2D373C"/>
          <w:sz w:val="24"/>
        </w:rPr>
        <w:t>Clanul ca memorie instituțională</w:t>
      </w:r>
    </w:p>
    <w:p>
      <w:pPr>
        <w:widowControl/>
        <w:spacing w:after="124" w:line="264" w:lineRule="auto"/>
      </w:pPr>
      <w:r>
        <w:rPr>
          <w:rFonts w:ascii="Noto Serif" w:hAnsi="Noto Serif" w:eastAsia="Noto Serif"/>
          <w:sz w:val="20"/>
        </w:rPr>
        <w:t>O lucrare din 2026 a examinat persistența instituțiilor de clan și colectivismul contemporan folosind trei tipuri de date: chestionare la 6.700 de participanți, indicatori derivați din aproximativ 300.000 de utilizatori Weibo din numeroase orașe și date istorice la nivel de 816 districte și comitate. Prezența și implicarea în structuri de clan erau asociate cu orientări mai colectiviste (Ji, Liu &amp; Zhu, 2026). Studiul nu demonstrează cauzalitate genetică; dimpotrivă, oferă un exemplu de memorie instituțională: forme istorice de organizare pot lăsa urme psihologice și lingvistice mult după ce economia s-a schimbat.</w:t>
      </w:r>
    </w:p>
    <w:p>
      <w:pPr>
        <w:keepNext/>
        <w:widowControl/>
        <w:spacing w:before="240" w:after="100"/>
      </w:pPr>
      <w:r>
        <w:rPr>
          <w:rFonts w:ascii="Noto Sans" w:hAnsi="Noto Sans" w:eastAsia="Noto Sans"/>
          <w:b/>
          <w:color w:val="2D373C"/>
          <w:sz w:val="24"/>
        </w:rPr>
        <w:t>Personalitatea indigenă și ceea ce scapă Big Five</w:t>
      </w:r>
    </w:p>
    <w:p>
      <w:pPr>
        <w:widowControl/>
        <w:spacing w:after="124" w:line="264" w:lineRule="auto"/>
      </w:pPr>
      <w:r>
        <w:rPr>
          <w:rFonts w:ascii="Noto Serif" w:hAnsi="Noto Serif" w:eastAsia="Noto Serif"/>
          <w:sz w:val="20"/>
        </w:rPr>
        <w:t>Cercetarea asiatică a dezvoltat și instrumente indigene. Chinese Personality Assessment Inventory a identificat dimensiuni precum Interpersonal Relatedness, care nu apar la fel de clar în inventarele occidentale importate. Aceasta nu înseamnă că chinezii au o „genă a relaționalității”, ci că o taxonomie construită într-o cultură poate observa regularități comportamentale pe care alta le comprimă sau le ratează (Cheung et al., 2003).</w:t>
      </w:r>
    </w:p>
    <w:p>
      <w:pPr>
        <w:keepNext/>
        <w:widowControl/>
        <w:spacing w:before="240" w:after="100"/>
      </w:pPr>
      <w:r>
        <w:rPr>
          <w:rFonts w:ascii="Noto Sans" w:hAnsi="Noto Sans" w:eastAsia="Noto Sans"/>
          <w:b/>
          <w:color w:val="2D373C"/>
          <w:sz w:val="24"/>
        </w:rPr>
        <w:t>Demografia schimbă din nou problema</w:t>
      </w:r>
    </w:p>
    <w:p>
      <w:pPr>
        <w:widowControl/>
        <w:spacing w:after="124" w:line="264" w:lineRule="auto"/>
      </w:pPr>
      <w:r>
        <w:rPr>
          <w:rFonts w:ascii="Noto Serif" w:hAnsi="Noto Serif" w:eastAsia="Noto Serif"/>
          <w:sz w:val="20"/>
        </w:rPr>
        <w:t>China este astăzi și un laborator al fertilității foarte scăzute. Diferențele urban-rural rămân importante, deși se schimbă. Ceea ce a fost cândva un stat preocupat de limitarea nașterilor este acum preocupat de costul parentalității. Această inversare într-o singură generație ar trebui să ne vindece de determinism. Aceleași populații pot trece de la norme pronataliste la fertilitate foarte scăzută fără transformări genetice relevante.</w:t>
      </w:r>
    </w:p>
    <w:p>
      <w:pPr>
        <w:widowControl/>
        <w:spacing w:after="124" w:line="264" w:lineRule="auto"/>
      </w:pPr>
      <w:r>
        <w:rPr>
          <w:rFonts w:ascii="Noto Serif" w:hAnsi="Noto Serif" w:eastAsia="Noto Serif"/>
          <w:sz w:val="20"/>
        </w:rPr>
        <w:t>Cazul chinez arată că „civilizația veche” nu este o cauză. Ce contează sunt instituțiile care persistă, ecologiile care cer cooperare, piețele de muncă, urbanizarea, normele familiale și modul în care toate acestea se reorganizează. Vechimea este o cronologie; mecanismul trebuie căutat în altă parte.</w:t>
      </w:r>
    </w:p>
    <w:p>
      <w:pPr>
        <w:widowControl/>
      </w:pPr>
      <w:r>
        <w:br w:type="page"/>
      </w:r>
    </w:p>
    <w:p>
      <w:pPr>
        <w:widowControl/>
        <w:spacing w:before="560" w:after="60"/>
      </w:pPr>
      <w:r>
        <w:rPr>
          <w:rFonts w:ascii="Noto Sans" w:hAnsi="Noto Sans" w:eastAsia="Noto Sans"/>
          <w:b/>
          <w:color w:val="5C5C5C"/>
          <w:sz w:val="18"/>
        </w:rPr>
        <w:t>CAPITOLUL 9</w:t>
      </w:r>
    </w:p>
    <w:p>
      <w:pPr>
        <w:keepNext/>
        <w:widowControl/>
        <w:spacing w:after="200"/>
      </w:pPr>
      <w:r>
        <w:rPr>
          <w:rFonts w:ascii="Noto Serif" w:hAnsi="Noto Serif" w:eastAsia="Noto Serif"/>
          <w:b/>
          <w:color w:val="202A30"/>
          <w:sz w:val="50"/>
        </w:rPr>
        <w:t>India: imposibilitatea unei singure medii</w:t>
      </w:r>
    </w:p>
    <w:p>
      <w:pPr>
        <w:widowControl/>
        <w:spacing w:after="400"/>
      </w:pPr>
      <w:r>
        <w:rPr>
          <w:rFonts w:ascii="Noto Serif" w:hAnsi="Noto Serif" w:eastAsia="Noto Serif"/>
          <w:i/>
          <w:color w:val="5A5A5A"/>
          <w:sz w:val="23"/>
        </w:rPr>
        <w:t>Când unitatea politică acoperă sute de ecologii sociale, media poate deveni ficțiune.</w:t>
      </w:r>
    </w:p>
    <w:p>
      <w:pPr>
        <w:widowControl/>
        <w:spacing w:after="124" w:line="264" w:lineRule="auto"/>
      </w:pPr>
      <w:r>
        <w:rPr>
          <w:rFonts w:ascii="Noto Serif" w:hAnsi="Noto Serif" w:eastAsia="Noto Serif"/>
          <w:sz w:val="20"/>
        </w:rPr>
        <w:t>Dacă China este greu de redus la o personalitate, India face exercițiul aproape absurd. Limbi, religii, caste, clase, regiuni, regimuri de rudenie, densități urbane și istorii coloniale diferite coexistă într-un singur stat. A vorbi despre „personalitatea indiană” fără o definiție precisă a eșantionului este mai degrabă literatură decât știință.</w:t>
      </w:r>
    </w:p>
    <w:p>
      <w:pPr>
        <w:widowControl/>
        <w:spacing w:after="124" w:line="264" w:lineRule="auto"/>
      </w:pPr>
      <w:r>
        <w:rPr>
          <w:rFonts w:ascii="Noto Serif" w:hAnsi="Noto Serif" w:eastAsia="Noto Serif"/>
          <w:sz w:val="20"/>
        </w:rPr>
        <w:t>Tocmai de aceea, studiile locale sunt utile. Un studiu din Karnataka, sudul Indiei, pe 400 de participanți din comunitate, a aplicat o versiune engleză sau kannada a BFI-2-S. Analiza factorială a produs soluții de patru și cinci factori care nu se suprapuneau curat peste Big Five; autorii au etichetat cei cinci factori rezultați Social Effectiveness, Interpersonal Ability, Altruism, Emotional Instability și Innovativeness (Thomas et al., 2023). Este un rezultat interesant, dar eșantionul este prea mic și prea local pentru a deveni „modelul Indiei”.</w:t>
      </w:r>
    </w:p>
    <w:p>
      <w:pPr>
        <w:widowControl/>
        <w:spacing w:after="124" w:line="264" w:lineRule="auto"/>
      </w:pPr>
      <w:r>
        <w:rPr>
          <w:rFonts w:ascii="Noto Serif" w:hAnsi="Noto Serif" w:eastAsia="Noto Serif"/>
          <w:sz w:val="20"/>
        </w:rPr>
        <w:t>Ceea ce dovedește este altceva: importul unei rigle psihologice într-un alt context poate produce o altă geometrie.</w:t>
      </w:r>
    </w:p>
    <w:p>
      <w:pPr>
        <w:keepNext/>
        <w:widowControl/>
        <w:spacing w:before="240" w:after="100"/>
      </w:pPr>
      <w:r>
        <w:rPr>
          <w:rFonts w:ascii="Noto Sans" w:hAnsi="Noto Sans" w:eastAsia="Noto Sans"/>
          <w:b/>
          <w:color w:val="2D373C"/>
          <w:sz w:val="24"/>
        </w:rPr>
        <w:t>Dincolo de Est versus Vest</w:t>
      </w:r>
    </w:p>
    <w:p>
      <w:pPr>
        <w:widowControl/>
        <w:spacing w:after="124" w:line="264" w:lineRule="auto"/>
      </w:pPr>
      <w:r>
        <w:rPr>
          <w:rFonts w:ascii="Noto Serif" w:hAnsi="Noto Serif" w:eastAsia="Noto Serif"/>
          <w:sz w:val="20"/>
        </w:rPr>
        <w:t>Un studiu multinațional condus de Vivian Vignoles a testat modele ale sinelui în două eșantioane: 2.924 de studenți din 16 națiuni și 7.279 de adulți din 55 de grupuri culturale din 33 de națiuni. Rezultatul a fost o structură în șapte dimensiuni a modurilor de independență și interdependență și o concluzie importantă: opoziția simplă „Vest independent - Est interdependent” nu surprinde diversitatea reală. Grupurile pot combina forme diferite de autonomie și relaționalitate (Vignoles et al., 2016).</w:t>
      </w:r>
    </w:p>
    <w:p>
      <w:pPr>
        <w:widowControl/>
        <w:spacing w:after="124" w:line="264" w:lineRule="auto"/>
      </w:pPr>
      <w:r>
        <w:rPr>
          <w:rFonts w:ascii="Noto Serif" w:hAnsi="Noto Serif" w:eastAsia="Noto Serif"/>
          <w:sz w:val="20"/>
        </w:rPr>
        <w:t>India este probabil exemplul paradigmatic al acestei combinații. O persoană poate fi extrem de autonomă în carieră și foarte interdependentă în familie; foarte conformistă într-un domeniu și inovatoare în altul. Personalitatea măsurată fără situație riscă să piardă tocmai această arhitectură contextuală.</w:t>
      </w:r>
    </w:p>
    <w:p>
      <w:pPr>
        <w:keepNext/>
        <w:widowControl/>
        <w:spacing w:before="240" w:after="100"/>
      </w:pPr>
      <w:r>
        <w:rPr>
          <w:rFonts w:ascii="Noto Sans" w:hAnsi="Noto Sans" w:eastAsia="Noto Sans"/>
          <w:b/>
          <w:color w:val="2D373C"/>
          <w:sz w:val="24"/>
        </w:rPr>
        <w:t>Ce ar putea selecta o societate stratificată?</w:t>
      </w:r>
    </w:p>
    <w:p>
      <w:pPr>
        <w:widowControl/>
        <w:spacing w:after="124" w:line="264" w:lineRule="auto"/>
      </w:pPr>
      <w:r>
        <w:rPr>
          <w:rFonts w:ascii="Noto Serif" w:hAnsi="Noto Serif" w:eastAsia="Noto Serif"/>
          <w:sz w:val="20"/>
        </w:rPr>
        <w:t>În principiu, instituțiile de căsătorie endogamă pot produce structură genetică între subpopulații pe termen lung. Dar a deduce de aici selecția unor trăsături psihologice este un pas suplimentar enorm, care cere date genetice, istorice și reproductive specifice. Mai defensabil este să spunem că rețelele de rudenie, căsătoria, statutul și normele de familie modifică puternic transmiterea culturală și oportunitățile reproductive.</w:t>
      </w:r>
    </w:p>
    <w:p>
      <w:pPr>
        <w:widowControl/>
        <w:spacing w:after="124" w:line="264" w:lineRule="auto"/>
      </w:pPr>
      <w:r>
        <w:rPr>
          <w:rFonts w:ascii="Noto Serif" w:hAnsi="Noto Serif" w:eastAsia="Noto Serif"/>
          <w:sz w:val="20"/>
        </w:rPr>
        <w:t>O societate foarte stratificată poate conserva simultan mai multe strategii. În unele grupuri, educația feminină ridicată poate reduce fertilitatea; în altele, rețelele extinse pot absorbi costul parentalității. Urbanizarea poate destrăma sau transforma aceste mecanisme. Migrația internă poate selecta, psihologic, cine ajunge în Bangalore sau Mumbai înainte ca orașul să aibă vreun efect asupra persoanei.</w:t>
      </w:r>
    </w:p>
    <w:p>
      <w:pPr>
        <w:widowControl/>
        <w:spacing w:after="124" w:line="264" w:lineRule="auto"/>
      </w:pPr>
      <w:r>
        <w:rPr>
          <w:rFonts w:ascii="Noto Serif" w:hAnsi="Noto Serif" w:eastAsia="Noto Serif"/>
          <w:sz w:val="20"/>
        </w:rPr>
        <w:t>Din perspectiva acestei cărți, India nu este un caz pentru o concluzie; este un avertisment metodologic. Dacă nu poți descrie instituția locală, structura familiei, mediul urban sau rural și cohorta, probabil nu știi încă ce populație compari.</w:t>
      </w:r>
    </w:p>
    <w:p>
      <w:pPr>
        <w:widowControl/>
      </w:pPr>
      <w:r>
        <w:br w:type="page"/>
      </w:r>
    </w:p>
    <w:p>
      <w:pPr>
        <w:widowControl/>
        <w:spacing w:before="560" w:after="60"/>
      </w:pPr>
      <w:r>
        <w:rPr>
          <w:rFonts w:ascii="Noto Sans" w:hAnsi="Noto Sans" w:eastAsia="Noto Sans"/>
          <w:b/>
          <w:color w:val="5C5C5C"/>
          <w:sz w:val="18"/>
        </w:rPr>
        <w:t>CAPITOLUL 10</w:t>
      </w:r>
    </w:p>
    <w:p>
      <w:pPr>
        <w:keepNext/>
        <w:widowControl/>
        <w:spacing w:after="200"/>
      </w:pPr>
      <w:r>
        <w:rPr>
          <w:rFonts w:ascii="Noto Serif" w:hAnsi="Noto Serif" w:eastAsia="Noto Serif"/>
          <w:b/>
          <w:color w:val="202A30"/>
          <w:sz w:val="50"/>
        </w:rPr>
        <w:t>Frontiera, insula și migratorul</w:t>
      </w:r>
    </w:p>
    <w:p>
      <w:pPr>
        <w:widowControl/>
        <w:spacing w:after="400"/>
      </w:pPr>
      <w:r>
        <w:rPr>
          <w:rFonts w:ascii="Noto Serif" w:hAnsi="Noto Serif" w:eastAsia="Noto Serif"/>
          <w:i/>
          <w:color w:val="5A5A5A"/>
          <w:sz w:val="23"/>
        </w:rPr>
        <w:t>Populațiile se schimbă și pentru că oamenii se mută, nu doar pentru că se nasc.</w:t>
      </w:r>
    </w:p>
    <w:p>
      <w:pPr>
        <w:widowControl/>
        <w:spacing w:after="124" w:line="264" w:lineRule="auto"/>
      </w:pPr>
      <w:r>
        <w:rPr>
          <w:rFonts w:ascii="Noto Serif" w:hAnsi="Noto Serif" w:eastAsia="Noto Serif"/>
          <w:sz w:val="20"/>
        </w:rPr>
        <w:t>Selecția socială începe adesea înainte de reproducere: cine pleacă și cine rămâne?</w:t>
      </w:r>
    </w:p>
    <w:p>
      <w:pPr>
        <w:widowControl/>
        <w:spacing w:after="124" w:line="264" w:lineRule="auto"/>
      </w:pPr>
      <w:r>
        <w:rPr>
          <w:rFonts w:ascii="Noto Serif" w:hAnsi="Noto Serif" w:eastAsia="Noto Serif"/>
          <w:sz w:val="20"/>
        </w:rPr>
        <w:t>Migrația este unul dintre cele mai puternice filtre psihologice și demografice. A pleca dintr-o țară, a studia în străinătate, a coloniza o frontieră sau a te muta într-un megapolis implică costuri, incertitudine și ruperea unor relații. Nu este surprinzător că mobilitatea nu este aleatorie după personalitate.</w:t>
      </w:r>
    </w:p>
    <w:p>
      <w:pPr>
        <w:widowControl/>
        <w:spacing w:after="124" w:line="264" w:lineRule="auto"/>
      </w:pPr>
      <w:r>
        <w:rPr>
          <w:rFonts w:ascii="Noto Serif" w:hAnsi="Noto Serif" w:eastAsia="Noto Serif"/>
          <w:sz w:val="20"/>
        </w:rPr>
        <w:t>În studiul longitudinal al lui Zimmermann și Neyer, extraversia și conștiinciozitatea inițiale preziceau participarea la mobilitate internațională pe termen scurt, iar extraversia și deschiderea pe termen mai lung. După plecare, personalitatea se modifica și ea. Așadar, o populație de migranți poate fi diferită din două motive: self-selection și socialization.</w:t>
      </w:r>
    </w:p>
    <w:p>
      <w:pPr>
        <w:widowControl/>
        <w:spacing w:after="124" w:line="264" w:lineRule="auto"/>
      </w:pPr>
      <w:r>
        <w:rPr>
          <w:rFonts w:ascii="Noto Serif" w:hAnsi="Noto Serif" w:eastAsia="Noto Serif"/>
          <w:sz w:val="20"/>
        </w:rPr>
        <w:t>Acest mecanism complică orice comparație urban-rural. Dacă tinerii mai deschiși sau proactivi se mută în oraș, diferența dintre oraș și sat nu este creată doar de oraș. Orașul a filtrat-o. Dacă aceiași tineri au apoi mai puțini copii, migrația devine o verigă între personalitate și fertilitate.</w:t>
      </w:r>
    </w:p>
    <w:p>
      <w:pPr>
        <w:keepNext/>
        <w:widowControl/>
        <w:spacing w:before="240" w:after="100"/>
      </w:pPr>
      <w:r>
        <w:rPr>
          <w:rFonts w:ascii="Noto Sans" w:hAnsi="Noto Sans" w:eastAsia="Noto Sans"/>
          <w:b/>
          <w:color w:val="2D373C"/>
          <w:sz w:val="24"/>
        </w:rPr>
        <w:t>Frontiera americană</w:t>
      </w:r>
    </w:p>
    <w:p>
      <w:pPr>
        <w:widowControl/>
        <w:spacing w:after="124" w:line="264" w:lineRule="auto"/>
      </w:pPr>
      <w:r>
        <w:rPr>
          <w:rFonts w:ascii="Noto Serif" w:hAnsi="Noto Serif" w:eastAsia="Noto Serif"/>
          <w:sz w:val="20"/>
        </w:rPr>
        <w:t>Cercetările asupra geografiilor de frontieră și a regiunilor montane din Statele Unite au găsit asocieri între mediu, istorie de colonizare și profile de personalitate. Un studiu pe peste 3,3 milioane de persoane a raportat că locuitorii regiunilor montane aveau, în medie, mai multă deschidere și niveluri mai scăzute ale unor trăsături precum agreabilitatea și extraversia, interpretate în lumina unei „frontier settlement theory”. Rezultatul este observațional și nu separă perfect selecția migratorie de socializare sau persistență istorică. Dar arată cum geografia poate păstra semnături psihologice prin fluxurile de oameni care aleg să o ocupe.</w:t>
      </w:r>
    </w:p>
    <w:p>
      <w:pPr>
        <w:keepNext/>
        <w:widowControl/>
        <w:spacing w:before="240" w:after="100"/>
      </w:pPr>
      <w:r>
        <w:rPr>
          <w:rFonts w:ascii="Noto Sans" w:hAnsi="Noto Sans" w:eastAsia="Noto Sans"/>
          <w:b/>
          <w:color w:val="2D373C"/>
          <w:sz w:val="24"/>
        </w:rPr>
        <w:t>Insula nu este doar izolare</w:t>
      </w:r>
    </w:p>
    <w:p>
      <w:pPr>
        <w:widowControl/>
        <w:spacing w:after="124" w:line="264" w:lineRule="auto"/>
      </w:pPr>
      <w:r>
        <w:rPr>
          <w:rFonts w:ascii="Noto Serif" w:hAnsi="Noto Serif" w:eastAsia="Noto Serif"/>
          <w:sz w:val="20"/>
        </w:rPr>
        <w:t>Insulele și comunitățile izolate sunt adesea imaginate ca laboratoare genetice. Uneori sunt, mai ales pentru boli mendeliene sau efecte fondatoare. Pentru personalitate și comportament, însă, izolarea socială este la fel de importantă ca izolarea genetică. O comunitate mică are densitate reputațională mare, puține nișe ocupaționale și costuri ridicate ale devianței. Chiar fără nicio diferență genetică, aceste condiții pot comprima distribuția comportamentală observată.</w:t>
      </w:r>
    </w:p>
    <w:p>
      <w:pPr>
        <w:widowControl/>
        <w:spacing w:after="124" w:line="264" w:lineRule="auto"/>
      </w:pPr>
      <w:r>
        <w:rPr>
          <w:rFonts w:ascii="Noto Serif" w:hAnsi="Noto Serif" w:eastAsia="Noto Serif"/>
          <w:sz w:val="20"/>
        </w:rPr>
        <w:t>Aici revine ipoteza diversității de nișe: societățile complexe pot susține combinații de trăsături care într-o comunitate mică ar fi greu de transformat într-un rol viabil. Când numărul de nișe crește, nu este doar economia care se diversifică. Se diversifică și modurile social acceptabile de a fi persoană.</w:t>
      </w:r>
    </w:p>
    <w:p>
      <w:pPr>
        <w:widowControl/>
        <w:spacing w:after="124" w:line="264" w:lineRule="auto"/>
      </w:pPr>
      <w:r>
        <w:rPr>
          <w:rFonts w:ascii="Noto Serif" w:hAnsi="Noto Serif" w:eastAsia="Noto Serif"/>
          <w:sz w:val="20"/>
        </w:rPr>
        <w:t>Aceasta ne obligă să reformulăm scenariile de viitor. O lume „neo-tribală” nu ar selecta neapărat genetic conformismul; ar putea, mult mai repede, să reducă nișele în care comportamentul neconform este sustenabil. O lume de megapolisuri poate conserva excentricitatea profesională, dar poate penaliza reproductiv tocmai mobilitatea și individualismul care o alimentează.</w:t>
      </w:r>
    </w:p>
    <w:p>
      <w:pPr>
        <w:widowControl/>
      </w:pPr>
      <w:r>
        <w:br w:type="page"/>
      </w:r>
    </w:p>
    <w:p>
      <w:pPr>
        <w:widowControl/>
        <w:spacing w:before="560" w:after="60"/>
      </w:pPr>
      <w:r>
        <w:rPr>
          <w:rFonts w:ascii="Noto Sans" w:hAnsi="Noto Sans" w:eastAsia="Noto Sans"/>
          <w:b/>
          <w:color w:val="5C5C5C"/>
          <w:sz w:val="18"/>
        </w:rPr>
        <w:t>CAPITOLUL 11</w:t>
      </w:r>
    </w:p>
    <w:p>
      <w:pPr>
        <w:keepNext/>
        <w:widowControl/>
        <w:spacing w:after="200"/>
      </w:pPr>
      <w:r>
        <w:rPr>
          <w:rFonts w:ascii="Noto Serif" w:hAnsi="Noto Serif" w:eastAsia="Noto Serif"/>
          <w:b/>
          <w:color w:val="202A30"/>
          <w:sz w:val="50"/>
        </w:rPr>
        <w:t>Când cinci factori devin doi</w:t>
      </w:r>
    </w:p>
    <w:p>
      <w:pPr>
        <w:widowControl/>
        <w:spacing w:after="400"/>
      </w:pPr>
      <w:r>
        <w:rPr>
          <w:rFonts w:ascii="Noto Serif" w:hAnsi="Noto Serif" w:eastAsia="Noto Serif"/>
          <w:i/>
          <w:color w:val="5A5A5A"/>
          <w:sz w:val="23"/>
        </w:rPr>
        <w:t>Complexitatea socială poate fi o mașină de conservat diferențele.</w:t>
      </w:r>
    </w:p>
    <w:p>
      <w:pPr>
        <w:widowControl/>
        <w:spacing w:after="124" w:line="264" w:lineRule="auto"/>
      </w:pPr>
      <w:r>
        <w:rPr>
          <w:rFonts w:ascii="Noto Serif" w:hAnsi="Noto Serif" w:eastAsia="Noto Serif"/>
          <w:sz w:val="20"/>
        </w:rPr>
        <w:t>Rezultatul Tsimane este ușor de interpretat greșit. Dacă Big Five nu apare robust într-o comunitate de forageri-horticultori, am putea concluziona că „oamenii tradiționali au personalități mai simple”. Aceasta ar confunda modelul statistic cu oamenii.</w:t>
      </w:r>
    </w:p>
    <w:p>
      <w:pPr>
        <w:widowControl/>
        <w:spacing w:after="124" w:line="264" w:lineRule="auto"/>
      </w:pPr>
      <w:r>
        <w:rPr>
          <w:rFonts w:ascii="Noto Serif" w:hAnsi="Noto Serif" w:eastAsia="Noto Serif"/>
          <w:sz w:val="20"/>
        </w:rPr>
        <w:t>O explicație mai interesantă este că mediul cere pachete de comportamente mai corelate. Într-o societate de subzistență, aceeași persoană trebuie să muncească, să coopereze cu rudele, să întrețină alianțe, să crească copii și să gestioneze conflicte într-o comunitate în care rolurile se suprapun. A fi foarte harnic dar complet nesigur social poate fi mai greu de „nișat” decât într-o economie cu mii de ocupații.</w:t>
      </w:r>
    </w:p>
    <w:p>
      <w:pPr>
        <w:widowControl/>
        <w:spacing w:after="124" w:line="264" w:lineRule="auto"/>
      </w:pPr>
      <w:r>
        <w:rPr>
          <w:rFonts w:ascii="Noto Serif" w:hAnsi="Noto Serif" w:eastAsia="Noto Serif"/>
          <w:sz w:val="20"/>
        </w:rPr>
        <w:t>Modelul lui Smaldino și colaboratorilor pornește de aici. Mai multe nișe înseamnă că mai multe combinații de trăsături pot avea rezultate satisfăcătoare. Dacă societatea are loc pentru programatorul retras, chirurgul disciplinat, actorul extravertit, cercetătorul obsesiv, educatorul empatic și antreprenorul tolerant la risc, corelațiile dintre trăsături scad. Factorii statistici se separă.</w:t>
      </w:r>
    </w:p>
    <w:p>
      <w:pPr>
        <w:widowControl/>
        <w:spacing w:after="124" w:line="264" w:lineRule="auto"/>
      </w:pPr>
      <w:r>
        <w:rPr>
          <w:rFonts w:ascii="Noto Serif" w:hAnsi="Noto Serif" w:eastAsia="Noto Serif"/>
          <w:sz w:val="20"/>
        </w:rPr>
        <w:t>Un studiu ulterior pe 115 națiuni a găsit exact o asociere între diversitatea nișelor și o structură de personalitate mai diferențiată. Nu este dovadă finală că nișele cauzează factorii, dar este o convergență puternică între model și date.</w:t>
      </w:r>
    </w:p>
    <w:p>
      <w:pPr>
        <w:keepNext/>
        <w:widowControl/>
        <w:spacing w:before="240" w:after="100"/>
      </w:pPr>
      <w:r>
        <w:rPr>
          <w:rFonts w:ascii="Noto Sans" w:hAnsi="Noto Sans" w:eastAsia="Noto Sans"/>
          <w:b/>
          <w:color w:val="2D373C"/>
          <w:sz w:val="24"/>
        </w:rPr>
        <w:t>Selecție sau protecție?</w:t>
      </w:r>
    </w:p>
    <w:p>
      <w:pPr>
        <w:widowControl/>
        <w:spacing w:after="124" w:line="264" w:lineRule="auto"/>
      </w:pPr>
      <w:r>
        <w:rPr>
          <w:rFonts w:ascii="Noto Serif" w:hAnsi="Noto Serif" w:eastAsia="Noto Serif"/>
          <w:sz w:val="20"/>
        </w:rPr>
        <w:t>Această idee inversează una dintre intuițiile de la începutul cărții. Ne întrebam dacă societățile mari și birocratice elimină treptat anumite trăsături. Uneori, exact dimpotrivă, ele pot proteja variația prin specializare. Piața mare și statul complex fac viabile profiluri care într-un sat nu și-ar găsi rolul.</w:t>
      </w:r>
    </w:p>
    <w:p>
      <w:pPr>
        <w:widowControl/>
        <w:spacing w:after="124" w:line="264" w:lineRule="auto"/>
      </w:pPr>
      <w:r>
        <w:rPr>
          <w:rFonts w:ascii="Noto Serif" w:hAnsi="Noto Serif" w:eastAsia="Noto Serif"/>
          <w:sz w:val="20"/>
        </w:rPr>
        <w:t>Dar protecția economică nu garantează reproducerea. Un profil poate fi foarte viabil profesional și foarte slab reproductiv. De aici apare posibilitatea unei selecții în două etape: complexitatea crește diversitatea de vieți adulte, dar arhitectura familială poate face unele dintre acele vieți aproape incompatibile cu doi sau trei copii.</w:t>
      </w:r>
    </w:p>
    <w:p>
      <w:pPr>
        <w:widowControl/>
        <w:spacing w:after="124" w:line="264" w:lineRule="auto"/>
      </w:pPr>
      <w:r>
        <w:rPr>
          <w:rFonts w:ascii="Noto Serif" w:hAnsi="Noto Serif" w:eastAsia="Noto Serif"/>
          <w:sz w:val="20"/>
        </w:rPr>
        <w:t>Aici se află, probabil, tensiunea centrală a modernității. Am creat cel mai bogat ecosistem de identități, profesii și stiluri de viață din istorie, dar nu am făcut toate aceste nișe compatibile cu reproducerea. Dacă această incompatibilitate este sistematică, pluralismul cultural de azi poate deveni compoziția demografică mai îngustă de mâine.</w:t>
      </w:r>
    </w:p>
    <w:p>
      <w:pPr>
        <w:keepNext/>
        <w:widowControl/>
        <w:spacing w:before="240" w:after="100"/>
      </w:pPr>
      <w:r>
        <w:rPr>
          <w:rFonts w:ascii="Noto Sans" w:hAnsi="Noto Sans" w:eastAsia="Noto Sans"/>
          <w:b/>
          <w:color w:val="2D373C"/>
          <w:sz w:val="24"/>
        </w:rPr>
        <w:t>Societatea bună ca ecosistem de nișe</w:t>
      </w:r>
    </w:p>
    <w:p>
      <w:pPr>
        <w:widowControl/>
        <w:spacing w:after="124" w:line="264" w:lineRule="auto"/>
      </w:pPr>
      <w:r>
        <w:rPr>
          <w:rFonts w:ascii="Noto Serif" w:hAnsi="Noto Serif" w:eastAsia="Noto Serif"/>
          <w:sz w:val="20"/>
        </w:rPr>
        <w:t>Din această perspectivă, libertatea nu înseamnă doar dreptul formal de a alege. Înseamnă existența unor nișe viabile pentru alegeri diferite. O societate care afirmă că apreciază cercetarea, arta, îngrijirea, antreprenoriatul și familia, dar face combinațiile dintre ele logistic imposibile, are un pluralism declarativ și o selecție practică mult mai îngustă.</w:t>
      </w:r>
    </w:p>
    <w:p>
      <w:pPr>
        <w:widowControl/>
        <w:spacing w:after="124" w:line="264" w:lineRule="auto"/>
      </w:pPr>
      <w:r>
        <w:rPr>
          <w:rFonts w:ascii="Noto Serif" w:hAnsi="Noto Serif" w:eastAsia="Noto Serif"/>
          <w:sz w:val="20"/>
        </w:rPr>
        <w:t>Aceasta oferă un criteriu nou pentru design social: câte tipuri de oameni pot trăi bine și, dacă doresc, pot avea copii fără costuri disproporționate?</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INSIGHT CENTRAL</w:t>
            </w:r>
            <w:r>
              <w:rPr>
                <w:rFonts w:ascii="Noto Sans" w:hAnsi="Noto Sans" w:eastAsia="Noto Sans"/>
                <w:b/>
                <w:color w:val="696969"/>
                <w:sz w:val="16"/>
              </w:rPr>
              <w:t xml:space="preserve">  PLAUSIBIL ȘI TESTABIL</w:t>
            </w:r>
          </w:p>
          <w:p>
            <w:pPr>
              <w:spacing w:after="20" w:line="252" w:lineRule="auto"/>
            </w:pPr>
            <w:r>
              <w:rPr>
                <w:rFonts w:ascii="Noto Serif" w:hAnsi="Noto Serif" w:eastAsia="Noto Serif"/>
                <w:sz w:val="19"/>
              </w:rPr>
              <w:t>Complexitatea socială poate crește diversitatea psihologică observabilă prin multiplicarea nișelor. Dar dacă doar unele nișe sunt compatibile cu familia, diversitatea adulților și diversitatea generației următoare pot urma direcții diferite.</w:t>
            </w:r>
          </w:p>
        </w:tc>
      </w:tr>
    </w:tbl>
    <w:p>
      <w:pPr>
        <w:widowControl/>
        <w:spacing w:after="20"/>
      </w:pPr>
    </w:p>
    <w:p>
      <w:pPr>
        <w:widowControl/>
      </w:pPr>
      <w:r>
        <w:br w:type="page"/>
      </w:r>
    </w:p>
    <w:p>
      <w:pPr>
        <w:widowControl/>
        <w:spacing w:before="1800"/>
        <w:jc w:val="center"/>
      </w:pPr>
      <w:r>
        <w:rPr>
          <w:rFonts w:ascii="Noto Sans" w:hAnsi="Noto Sans" w:eastAsia="Noto Sans"/>
          <w:b/>
          <w:color w:val="696969"/>
          <w:sz w:val="19"/>
        </w:rPr>
        <w:t>PARTEA III</w:t>
      </w:r>
    </w:p>
    <w:p>
      <w:pPr>
        <w:widowControl/>
        <w:spacing w:before="160" w:after="240"/>
        <w:jc w:val="center"/>
      </w:pPr>
      <w:r>
        <w:rPr>
          <w:rFonts w:ascii="Noto Serif" w:hAnsi="Noto Serif" w:eastAsia="Noto Serif"/>
          <w:b/>
          <w:color w:val="1F2E36"/>
          <w:sz w:val="54"/>
        </w:rPr>
        <w:t>MARGINILE ÎNTUNECATE</w:t>
      </w:r>
    </w:p>
    <w:p>
      <w:pPr>
        <w:widowControl/>
        <w:jc w:val="center"/>
      </w:pPr>
      <w:r>
        <w:rPr>
          <w:rFonts w:ascii="Noto Serif" w:hAnsi="Noto Serif" w:eastAsia="Noto Serif"/>
          <w:i/>
          <w:color w:val="5A5A5A"/>
          <w:sz w:val="23"/>
        </w:rPr>
        <w:t>Psihopatia, paranoia și tulburările psihice sunt locul unde speculația evolutivă trebuie ținută cel mai strâns de date.</w:t>
      </w:r>
    </w:p>
    <w:p>
      <w:pPr>
        <w:widowControl/>
      </w:pPr>
      <w:r>
        <w:br w:type="page"/>
      </w:r>
    </w:p>
    <w:p>
      <w:pPr>
        <w:widowControl/>
        <w:spacing w:before="560" w:after="60"/>
      </w:pPr>
      <w:r>
        <w:rPr>
          <w:rFonts w:ascii="Noto Sans" w:hAnsi="Noto Sans" w:eastAsia="Noto Sans"/>
          <w:b/>
          <w:color w:val="5C5C5C"/>
          <w:sz w:val="18"/>
        </w:rPr>
        <w:t>CAPITOLUL 12</w:t>
      </w:r>
    </w:p>
    <w:p>
      <w:pPr>
        <w:keepNext/>
        <w:widowControl/>
        <w:spacing w:after="200"/>
      </w:pPr>
      <w:r>
        <w:rPr>
          <w:rFonts w:ascii="Noto Serif" w:hAnsi="Noto Serif" w:eastAsia="Noto Serif"/>
          <w:b/>
          <w:color w:val="202A30"/>
          <w:sz w:val="50"/>
        </w:rPr>
        <w:t>Psihopatia: prădătorul sau problema de măsurare?</w:t>
      </w:r>
    </w:p>
    <w:p>
      <w:pPr>
        <w:widowControl/>
        <w:spacing w:after="400"/>
      </w:pPr>
      <w:r>
        <w:rPr>
          <w:rFonts w:ascii="Noto Serif" w:hAnsi="Noto Serif" w:eastAsia="Noto Serif"/>
          <w:i/>
          <w:color w:val="5A5A5A"/>
          <w:sz w:val="23"/>
        </w:rPr>
        <w:t>Când un cuvânt dramatic acoperă instrumente și populații foarte diferite.</w:t>
      </w:r>
    </w:p>
    <w:p>
      <w:pPr>
        <w:widowControl/>
        <w:spacing w:after="124" w:line="264" w:lineRule="auto"/>
      </w:pPr>
      <w:r>
        <w:rPr>
          <w:rFonts w:ascii="Noto Serif" w:hAnsi="Noto Serif" w:eastAsia="Noto Serif"/>
          <w:sz w:val="20"/>
        </w:rPr>
        <w:t>Puține concepte atrag mai ușor teorii evolutive decât psihopatia. Imaginea este intuitivă: într-o populație cooperantă, o minoritate rece, manipulatoare și fără remușcare poate exploata încrederea celorlalți. Dacă strategia are avantaje reproductive, nu ar putea societatea să mențină sau chiar să amplifice asemenea trăsături?</w:t>
      </w:r>
    </w:p>
    <w:p>
      <w:pPr>
        <w:widowControl/>
        <w:spacing w:after="124" w:line="264" w:lineRule="auto"/>
      </w:pPr>
      <w:r>
        <w:rPr>
          <w:rFonts w:ascii="Noto Serif" w:hAnsi="Noto Serif" w:eastAsia="Noto Serif"/>
          <w:sz w:val="20"/>
        </w:rPr>
        <w:t>Înainte de poveste, avem nevoie de măsurare. O meta-analiză din 2021 a 15 studii, 16 eșantioane și 11.497 de adulți a estimat o prevalență combinată a psihopatiei în populația generală de 4,5%. Dar când definiția folosea PCL-R, instrumentul clinic-forensic considerat reper, estimarea era doar 1,2%. Prevalența varia puternic după instrument, sex și tip de eșantion (Sanz-García et al., 2021).</w:t>
      </w:r>
    </w:p>
    <w:p>
      <w:pPr>
        <w:widowControl/>
        <w:spacing w:after="124" w:line="264" w:lineRule="auto"/>
      </w:pPr>
      <w:r>
        <w:rPr>
          <w:rFonts w:ascii="Noto Serif" w:hAnsi="Noto Serif" w:eastAsia="Noto Serif"/>
          <w:sz w:val="20"/>
        </w:rPr>
        <w:t>Această diferență este enormă. Ea spune că întrebarea „câți psihopați sunt?” nu are răspuns fără întrebarea „cum îi definim?”. Auto-chestionarele de trăsături psihopatice și evaluarea clinică nu sunt același lucru.</w:t>
      </w:r>
    </w:p>
    <w:p>
      <w:pPr>
        <w:keepNext/>
        <w:widowControl/>
        <w:spacing w:before="240" w:after="100"/>
      </w:pPr>
      <w:r>
        <w:rPr>
          <w:rFonts w:ascii="Noto Sans" w:hAnsi="Noto Sans" w:eastAsia="Noto Sans"/>
          <w:b/>
          <w:color w:val="2D373C"/>
          <w:sz w:val="24"/>
        </w:rPr>
        <w:t>O strategie dependentă de frecvență?</w:t>
      </w:r>
    </w:p>
    <w:p>
      <w:pPr>
        <w:widowControl/>
        <w:spacing w:after="124" w:line="264" w:lineRule="auto"/>
      </w:pPr>
      <w:r>
        <w:rPr>
          <w:rFonts w:ascii="Noto Serif" w:hAnsi="Noto Serif" w:eastAsia="Noto Serif"/>
          <w:sz w:val="20"/>
        </w:rPr>
        <w:t>Modelele evolutive au propus uneori psihopatia ca strategie socială dependentă de frecvență: exploatarea funcționează mai bine când majoritatea cooperează. Este o ipoteză coerentă. Dar pentru a o transforma în afirmație despre selecția modernă trebuie să demonstrăm trei lucruri: că trăsăturile relevante sunt suficient de ereditare; că ele cresc succesul reproductiv, nu doar venitul, statutul sau numărul de parteneri; și că asocierea persistă după factori sociali și de mediu.</w:t>
      </w:r>
    </w:p>
    <w:p>
      <w:pPr>
        <w:widowControl/>
        <w:spacing w:after="124" w:line="264" w:lineRule="auto"/>
      </w:pPr>
      <w:r>
        <w:rPr>
          <w:rFonts w:ascii="Noto Serif" w:hAnsi="Noto Serif" w:eastAsia="Noto Serif"/>
          <w:sz w:val="20"/>
        </w:rPr>
        <w:t>Datele sunt mult mai modeste. Un studiu recent într-un eșantion reprezentativ croat de 690 de persoane a găsit, între unele trăsături din „Dark Tetrad”, o asociere pozitivă între psihopatie și numărul de copii, în timp ce sadismul avea o relație opusă. Este un rezultat provocator, nu o lege evolutivă. Eșantionul este unic, măsurarea este de trăsături, iar replicarea cross-culturală lipsește.</w:t>
      </w:r>
    </w:p>
    <w:p>
      <w:pPr>
        <w:keepNext/>
        <w:widowControl/>
        <w:spacing w:before="240" w:after="100"/>
      </w:pPr>
      <w:r>
        <w:rPr>
          <w:rFonts w:ascii="Noto Sans" w:hAnsi="Noto Sans" w:eastAsia="Noto Sans"/>
          <w:b/>
          <w:color w:val="2D373C"/>
          <w:sz w:val="24"/>
        </w:rPr>
        <w:t>Instituțiile pot selecta comportamentul fără să selecteze gena</w:t>
      </w:r>
    </w:p>
    <w:p>
      <w:pPr>
        <w:widowControl/>
        <w:spacing w:after="124" w:line="264" w:lineRule="auto"/>
      </w:pPr>
      <w:r>
        <w:rPr>
          <w:rFonts w:ascii="Noto Serif" w:hAnsi="Noto Serif" w:eastAsia="Noto Serif"/>
          <w:sz w:val="20"/>
        </w:rPr>
        <w:t>Mai defensabil este să observăm că anumite instituții pot recompensa temporar comportamente asemănătoare unor componente ale psihopatiei: toleranță la risc, lipsă de anxietate, agresivitate instrumentală, capacitatea de a concedia sau negocia fără cost emoțional. Într-un mediu cu feedback slab și responsabilitate difuză, avantajul local poate crește.</w:t>
      </w:r>
    </w:p>
    <w:p>
      <w:pPr>
        <w:widowControl/>
        <w:spacing w:after="124" w:line="264" w:lineRule="auto"/>
      </w:pPr>
      <w:r>
        <w:rPr>
          <w:rFonts w:ascii="Noto Serif" w:hAnsi="Noto Serif" w:eastAsia="Noto Serif"/>
          <w:sz w:val="20"/>
        </w:rPr>
        <w:t>Dar aceste componente nu sunt echivalente cu psihopatia clinică. Un chirurg calm, un comandant capabil să decidă sub presiune sau un antreprenor tolerant la risc nu sunt, prin aceste trăsături, psihopați. Eticheta poate transforma diferențe funcționale în patologie.</w:t>
      </w:r>
    </w:p>
    <w:p>
      <w:pPr>
        <w:widowControl/>
        <w:spacing w:after="124" w:line="264" w:lineRule="auto"/>
      </w:pPr>
      <w:r>
        <w:rPr>
          <w:rFonts w:ascii="Noto Serif" w:hAnsi="Noto Serif" w:eastAsia="Noto Serif"/>
          <w:sz w:val="20"/>
        </w:rPr>
        <w:t>Și mai important, instituțiile pot proiecta împotriva exploatării: transparență, audit, separarea puterilor, reputație, protecția avertizorilor, evaluare colegială. Dacă strategia exploatatoare depinde de opacitate, arhitectura instituției îi modifică fitnessul cultural.</w:t>
      </w:r>
    </w:p>
    <w:p>
      <w:pPr>
        <w:widowControl/>
        <w:spacing w:after="124" w:line="264" w:lineRule="auto"/>
      </w:pPr>
      <w:r>
        <w:rPr>
          <w:rFonts w:ascii="Noto Serif" w:hAnsi="Noto Serif" w:eastAsia="Noto Serif"/>
          <w:sz w:val="20"/>
        </w:rPr>
        <w:t>Întrebarea bună pentru viitor nu este dacă „psihopații vor prelua societatea”, ci cât de mult poate o societate mare să reconstruiască mecanismele de feedback și reputație care, în grupurile mici, limitează exploatarea.</w:t>
      </w:r>
    </w:p>
    <w:p>
      <w:pPr>
        <w:widowControl/>
      </w:pPr>
      <w:r>
        <w:br w:type="page"/>
      </w:r>
    </w:p>
    <w:p>
      <w:pPr>
        <w:widowControl/>
        <w:spacing w:before="560" w:after="60"/>
      </w:pPr>
      <w:r>
        <w:rPr>
          <w:rFonts w:ascii="Noto Sans" w:hAnsi="Noto Sans" w:eastAsia="Noto Sans"/>
          <w:b/>
          <w:color w:val="5C5C5C"/>
          <w:sz w:val="18"/>
        </w:rPr>
        <w:t>CAPITOLUL 13</w:t>
      </w:r>
    </w:p>
    <w:p>
      <w:pPr>
        <w:keepNext/>
        <w:widowControl/>
        <w:spacing w:after="200"/>
      </w:pPr>
      <w:r>
        <w:rPr>
          <w:rFonts w:ascii="Noto Serif" w:hAnsi="Noto Serif" w:eastAsia="Noto Serif"/>
          <w:b/>
          <w:color w:val="202A30"/>
          <w:sz w:val="50"/>
        </w:rPr>
        <w:t>Paranoia în mulțime</w:t>
      </w:r>
    </w:p>
    <w:p>
      <w:pPr>
        <w:widowControl/>
        <w:spacing w:after="400"/>
      </w:pPr>
      <w:r>
        <w:rPr>
          <w:rFonts w:ascii="Noto Serif" w:hAnsi="Noto Serif" w:eastAsia="Noto Serif"/>
          <w:i/>
          <w:color w:val="5A5A5A"/>
          <w:sz w:val="23"/>
        </w:rPr>
        <w:t>O minte construită pentru amenințări locale într-o lume cu milioane de necunoscuți.</w:t>
      </w:r>
    </w:p>
    <w:p>
      <w:pPr>
        <w:widowControl/>
        <w:spacing w:after="124" w:line="264" w:lineRule="auto"/>
      </w:pPr>
      <w:r>
        <w:rPr>
          <w:rFonts w:ascii="Noto Serif" w:hAnsi="Noto Serif" w:eastAsia="Noto Serif"/>
          <w:sz w:val="20"/>
        </w:rPr>
        <w:t>Paranoia este un alt concept pe care limbajul comun îl transformă într-o categorie binară. În cercetare, gândirea persecutorie apare mai degrabă ca un continuum. O revizuire clasică estima că 10-15% din populația generală are relativ regulat gânduri paranoide, în timp ce delirurile persecutorii severe apar la capătul clinic al distribuției (Freeman, 2007).</w:t>
      </w:r>
    </w:p>
    <w:p>
      <w:pPr>
        <w:widowControl/>
        <w:spacing w:after="124" w:line="264" w:lineRule="auto"/>
      </w:pPr>
      <w:r>
        <w:rPr>
          <w:rFonts w:ascii="Noto Serif" w:hAnsi="Noto Serif" w:eastAsia="Noto Serif"/>
          <w:sz w:val="20"/>
        </w:rPr>
        <w:t>Într-un sondaj reprezentativ din Anglia, formulările mai largi de suspiciune erau raportate de mult mai mulți oameni decât ideile severe de complot personal. Această distribuție este intuitivă: sistemele cognitive pentru detectarea intențiilor ostile nu pornesc de la zero și apoi devin brusc „boală”. Ele sunt mecanisme normale care pot fi calibrate excesiv de stres, traumă, izolare, discriminare sau incertitudine.</w:t>
      </w:r>
    </w:p>
    <w:p>
      <w:pPr>
        <w:keepNext/>
        <w:widowControl/>
        <w:spacing w:before="240" w:after="100"/>
      </w:pPr>
      <w:r>
        <w:rPr>
          <w:rFonts w:ascii="Noto Sans" w:hAnsi="Noto Sans" w:eastAsia="Noto Sans"/>
          <w:b/>
          <w:color w:val="2D373C"/>
          <w:sz w:val="24"/>
        </w:rPr>
        <w:t>Orașul și necunoscutul</w:t>
      </w:r>
    </w:p>
    <w:p>
      <w:pPr>
        <w:widowControl/>
        <w:spacing w:after="124" w:line="264" w:lineRule="auto"/>
      </w:pPr>
      <w:r>
        <w:rPr>
          <w:rFonts w:ascii="Noto Serif" w:hAnsi="Noto Serif" w:eastAsia="Noto Serif"/>
          <w:sz w:val="20"/>
        </w:rPr>
        <w:t>Într-un sat, străinul este rar și reputația este publică. Într-un oraș, întâlnim zilnic sute de persoane despre care nu știm aproape nimic. Instituțiile înlocuiesc reputația cu reguli, camere, contracte, evaluări online și documente. Această lume este simultan mai sigură și mai impersonală.</w:t>
      </w:r>
    </w:p>
    <w:p>
      <w:pPr>
        <w:widowControl/>
        <w:spacing w:after="124" w:line="264" w:lineRule="auto"/>
      </w:pPr>
      <w:r>
        <w:rPr>
          <w:rFonts w:ascii="Noto Serif" w:hAnsi="Noto Serif" w:eastAsia="Noto Serif"/>
          <w:sz w:val="20"/>
        </w:rPr>
        <w:t>Paranoia poate fi privită, fără a reduce boala la adaptare, ca o problemă de calibrare a detecției amenințării. Dacă costul de a rata un atac este mare, un sistem cognitiv poate tolera multe false positive. Dar în mediile moderne, fluxul de semnale ambigue este imens: social media, știri globale, comentarii anonime, algoritmi care maximizează engagementul. Un mecanism calibrat pentru grupuri mici poate primi prea multe date nefiltrate.</w:t>
      </w:r>
    </w:p>
    <w:p>
      <w:pPr>
        <w:widowControl/>
        <w:spacing w:after="124" w:line="264" w:lineRule="auto"/>
      </w:pPr>
      <w:r>
        <w:rPr>
          <w:rFonts w:ascii="Noto Serif" w:hAnsi="Noto Serif" w:eastAsia="Noto Serif"/>
          <w:sz w:val="20"/>
        </w:rPr>
        <w:t>Aceasta este o ipoteză de mismatch, nu o dovadă că urbanizarea „selectează paranoia”. Epidemiologia arată asocieri între urbanicitate și unele tulburări psihotice, dar cauzele posibile includ sărăcie, segregare, migrație, discriminare, expuneri de mediu, acces la servicii și selecție rezidențială.</w:t>
      </w:r>
    </w:p>
    <w:p>
      <w:pPr>
        <w:keepNext/>
        <w:widowControl/>
        <w:spacing w:before="240" w:after="100"/>
      </w:pPr>
      <w:r>
        <w:rPr>
          <w:rFonts w:ascii="Noto Sans" w:hAnsi="Noto Sans" w:eastAsia="Noto Sans"/>
          <w:b/>
          <w:color w:val="2D373C"/>
          <w:sz w:val="24"/>
        </w:rPr>
        <w:t>Paranoia politică și paranoia clinică</w:t>
      </w:r>
    </w:p>
    <w:p>
      <w:pPr>
        <w:widowControl/>
        <w:spacing w:after="124" w:line="264" w:lineRule="auto"/>
      </w:pPr>
      <w:r>
        <w:rPr>
          <w:rFonts w:ascii="Noto Serif" w:hAnsi="Noto Serif" w:eastAsia="Noto Serif"/>
          <w:sz w:val="20"/>
        </w:rPr>
        <w:t>Societățile mari creează și suspiciuni raționale. Instituții opace chiar pot conspira; platformele chiar colectează date; campaniile de influență chiar există. A numi orice neîncredere „paranoia” poate patologiza vigilența civică. Invers, faptul că unele conspirații sunt reale nu validează orice credință conspirativă.</w:t>
      </w:r>
    </w:p>
    <w:p>
      <w:pPr>
        <w:widowControl/>
        <w:spacing w:after="124" w:line="264" w:lineRule="auto"/>
      </w:pPr>
      <w:r>
        <w:rPr>
          <w:rFonts w:ascii="Noto Serif" w:hAnsi="Noto Serif" w:eastAsia="Noto Serif"/>
          <w:sz w:val="20"/>
        </w:rPr>
        <w:t>Pentru viitorul social, întrebarea importantă este dacă putem construi infrastructuri de încredere verificabilă. Transparența, auditabilitatea și procedurile de contestare reduc nevoia de a alege între credulitate și suspiciune totală. Într-o societate de necunoscuți, încrederea nu poate fi doar emoție; trebuie să fie parțial arhitectură.</w:t>
      </w:r>
    </w:p>
    <w:p>
      <w:pPr>
        <w:widowControl/>
      </w:pPr>
      <w:r>
        <w:br w:type="page"/>
      </w:r>
    </w:p>
    <w:p>
      <w:pPr>
        <w:widowControl/>
        <w:spacing w:before="560" w:after="60"/>
      </w:pPr>
      <w:r>
        <w:rPr>
          <w:rFonts w:ascii="Noto Sans" w:hAnsi="Noto Sans" w:eastAsia="Noto Sans"/>
          <w:b/>
          <w:color w:val="5C5C5C"/>
          <w:sz w:val="18"/>
        </w:rPr>
        <w:t>CAPITOLUL 14</w:t>
      </w:r>
    </w:p>
    <w:p>
      <w:pPr>
        <w:keepNext/>
        <w:widowControl/>
        <w:spacing w:after="200"/>
      </w:pPr>
      <w:r>
        <w:rPr>
          <w:rFonts w:ascii="Noto Serif" w:hAnsi="Noto Serif" w:eastAsia="Noto Serif"/>
          <w:b/>
          <w:color w:val="202A30"/>
          <w:sz w:val="50"/>
        </w:rPr>
        <w:t>Orașul ca experiment psihologic</w:t>
      </w:r>
    </w:p>
    <w:p>
      <w:pPr>
        <w:widowControl/>
        <w:spacing w:after="400"/>
      </w:pPr>
      <w:r>
        <w:rPr>
          <w:rFonts w:ascii="Noto Serif" w:hAnsi="Noto Serif" w:eastAsia="Noto Serif"/>
          <w:i/>
          <w:color w:val="5A5A5A"/>
          <w:sz w:val="23"/>
        </w:rPr>
        <w:t>Megapolisul nu este doar un loc. Este un nou tip de mediu uman.</w:t>
      </w:r>
    </w:p>
    <w:p>
      <w:pPr>
        <w:widowControl/>
        <w:spacing w:after="124" w:line="264" w:lineRule="auto"/>
      </w:pPr>
      <w:r>
        <w:rPr>
          <w:rFonts w:ascii="Noto Serif" w:hAnsi="Noto Serif" w:eastAsia="Noto Serif"/>
          <w:sz w:val="20"/>
        </w:rPr>
        <w:t>Mai mult de jumătate din omenire trăiește urban, iar proporția continuă să crească. Din perspectiva evoluției, orașul este o invenție recentă. Din perspectiva psihologiei, este un experiment de scară: densitate mare, rețele extinse, contact cu necunoscuți, zgomot, poluare, anonimat, oportunități, specializare și mobilitate.</w:t>
      </w:r>
    </w:p>
    <w:p>
      <w:pPr>
        <w:widowControl/>
        <w:spacing w:after="124" w:line="264" w:lineRule="auto"/>
      </w:pPr>
      <w:r>
        <w:rPr>
          <w:rFonts w:ascii="Noto Serif" w:hAnsi="Noto Serif" w:eastAsia="Noto Serif"/>
          <w:sz w:val="20"/>
        </w:rPr>
        <w:t>O meta-analiză a incidenței tulburărilor psihotice, bazată pe 33 de rapoarte, a găsit o rată de incidență cu aproximativ 64% mai mare în zone urbane decât rurale, cu interval de încredere 1,38-1,95. Același studiu găsea efecte și mai mari pentru statutul de migrant și pentru zone socioeconomice defavorizate (Castillejos et al., 2018). Aceste asocieri sunt importante, dar nu trebuie transformate într-un verdict „orașul cauzează psihoză”. Urbanicitatea este un pachet de expuneri și selecții.</w:t>
      </w:r>
    </w:p>
    <w:p>
      <w:pPr>
        <w:widowControl/>
        <w:spacing w:after="124" w:line="264" w:lineRule="auto"/>
      </w:pPr>
      <w:r>
        <w:rPr>
          <w:rFonts w:ascii="Noto Serif" w:hAnsi="Noto Serif" w:eastAsia="Noto Serif"/>
          <w:sz w:val="20"/>
        </w:rPr>
        <w:t>Alte meta-analize găsesc asocieri între viața urbană și depresie în țări dezvoltate. Singurătatea și izolarea socială, deși nu sunt exclusiv urbane, pot coexista paradoxal cu densitatea. Poți fi înconjurat de milioane de oameni și lipsit de relații repetate.</w:t>
      </w:r>
    </w:p>
    <w:p>
      <w:pPr>
        <w:keepNext/>
        <w:widowControl/>
        <w:spacing w:before="240" w:after="100"/>
      </w:pPr>
      <w:r>
        <w:rPr>
          <w:rFonts w:ascii="Noto Sans" w:hAnsi="Noto Sans" w:eastAsia="Noto Sans"/>
          <w:b/>
          <w:color w:val="2D373C"/>
          <w:sz w:val="24"/>
        </w:rPr>
        <w:t>Orașul oferă și protecție</w:t>
      </w:r>
    </w:p>
    <w:p>
      <w:pPr>
        <w:widowControl/>
        <w:spacing w:after="124" w:line="264" w:lineRule="auto"/>
      </w:pPr>
      <w:r>
        <w:rPr>
          <w:rFonts w:ascii="Noto Serif" w:hAnsi="Noto Serif" w:eastAsia="Noto Serif"/>
          <w:sz w:val="20"/>
        </w:rPr>
        <w:t>Aceeași densitate produce spitale, universități, comunități minoritare, piețe de muncă specializate și acces la parteneri sociali care nu ar exista într-un sat. Pentru persoane cu interese rare sau identități neobișnuite, orașul poate fi eliberator. Ipoteza nișelor prezice exact acest lucru: complexitatea protejează varietatea.</w:t>
      </w:r>
    </w:p>
    <w:p>
      <w:pPr>
        <w:widowControl/>
        <w:spacing w:after="124" w:line="264" w:lineRule="auto"/>
      </w:pPr>
      <w:r>
        <w:rPr>
          <w:rFonts w:ascii="Noto Serif" w:hAnsi="Noto Serif" w:eastAsia="Noto Serif"/>
          <w:sz w:val="20"/>
        </w:rPr>
        <w:t>Prin urmare, comparația „sat sănătos - oraș bolnav” este greșită. Satul oferă integrare și sprijin, dar poate impune conformitate, lipsă de anonimat și puține ieșiri din conflictele locale. Orașul oferă autonomie și opțiuni, dar poate fragmenta relațiile și crește costul vieții.</w:t>
      </w:r>
    </w:p>
    <w:p>
      <w:pPr>
        <w:keepNext/>
        <w:widowControl/>
        <w:spacing w:before="240" w:after="100"/>
      </w:pPr>
      <w:r>
        <w:rPr>
          <w:rFonts w:ascii="Noto Sans" w:hAnsi="Noto Sans" w:eastAsia="Noto Sans"/>
          <w:b/>
          <w:color w:val="2D373C"/>
          <w:sz w:val="24"/>
        </w:rPr>
        <w:t>Efectul dublu: minte și fertilitate</w:t>
      </w:r>
    </w:p>
    <w:p>
      <w:pPr>
        <w:widowControl/>
        <w:spacing w:after="124" w:line="264" w:lineRule="auto"/>
      </w:pPr>
      <w:r>
        <w:rPr>
          <w:rFonts w:ascii="Noto Serif" w:hAnsi="Noto Serif" w:eastAsia="Noto Serif"/>
          <w:sz w:val="20"/>
        </w:rPr>
        <w:t>Ceea ce face orașul special pentru tema noastră este suprapunerea a două patternuri: fertilitate mai joasă și unele riscuri de sănătate mintală mai ridicate. Nu înseamnă că al doilea produce primul. Dar împreună sugerează că megapolisul modern poate fi un mediu foarte productiv economic și cultural, fără a fi optim pentru reproducerea biologică și psihologică a comunităților.</w:t>
      </w:r>
    </w:p>
    <w:p>
      <w:pPr>
        <w:widowControl/>
        <w:spacing w:after="124" w:line="264" w:lineRule="auto"/>
      </w:pPr>
      <w:r>
        <w:rPr>
          <w:rFonts w:ascii="Noto Serif" w:hAnsi="Noto Serif" w:eastAsia="Noto Serif"/>
          <w:sz w:val="20"/>
        </w:rPr>
        <w:t>Dacă orașele viitorului vor găzdui o proporție și mai mare a populației, designul lor devine o problemă demografică. Locuințe suficient de mari, distanțe scurte, acces la natură, spații de întâlnire, școli, servicii de îngrijire și vecinătăți stabile nu sunt „amenități”. Pot fi infrastructura care face densitatea compatibilă cu familie și sănătate mentală.</w:t>
      </w:r>
    </w:p>
    <w:p>
      <w:pPr>
        <w:widowControl/>
        <w:spacing w:after="124" w:line="264" w:lineRule="auto"/>
      </w:pPr>
      <w:r>
        <w:rPr>
          <w:rFonts w:ascii="Noto Serif" w:hAnsi="Noto Serif" w:eastAsia="Noto Serif"/>
          <w:sz w:val="20"/>
        </w:rPr>
        <w:t>Megapolisul nu trebuie abandonat. Trebuie domesticit pentru specia care îl locuiește.</w:t>
      </w:r>
    </w:p>
    <w:p>
      <w:pPr>
        <w:widowControl/>
      </w:pPr>
      <w:r>
        <w:br w:type="page"/>
      </w:r>
    </w:p>
    <w:p>
      <w:pPr>
        <w:widowControl/>
        <w:spacing w:before="560" w:after="60"/>
      </w:pPr>
      <w:r>
        <w:rPr>
          <w:rFonts w:ascii="Noto Sans" w:hAnsi="Noto Sans" w:eastAsia="Noto Sans"/>
          <w:b/>
          <w:color w:val="5C5C5C"/>
          <w:sz w:val="18"/>
        </w:rPr>
        <w:t>CAPITOLUL 15</w:t>
      </w:r>
    </w:p>
    <w:p>
      <w:pPr>
        <w:keepNext/>
        <w:widowControl/>
        <w:spacing w:after="200"/>
      </w:pPr>
      <w:r>
        <w:rPr>
          <w:rFonts w:ascii="Noto Serif" w:hAnsi="Noto Serif" w:eastAsia="Noto Serif"/>
          <w:b/>
          <w:color w:val="202A30"/>
          <w:sz w:val="50"/>
        </w:rPr>
        <w:t>Tulburările psihice și reproducerea</w:t>
      </w:r>
    </w:p>
    <w:p>
      <w:pPr>
        <w:widowControl/>
        <w:spacing w:after="400"/>
      </w:pPr>
      <w:r>
        <w:rPr>
          <w:rFonts w:ascii="Noto Serif" w:hAnsi="Noto Serif" w:eastAsia="Noto Serif"/>
          <w:i/>
          <w:color w:val="5A5A5A"/>
          <w:sz w:val="23"/>
        </w:rPr>
        <w:t>Persistența genetică nu înseamnă avantaj reproductiv.</w:t>
      </w:r>
    </w:p>
    <w:p>
      <w:pPr>
        <w:widowControl/>
        <w:spacing w:after="124" w:line="264" w:lineRule="auto"/>
      </w:pPr>
      <w:r>
        <w:rPr>
          <w:rFonts w:ascii="Noto Serif" w:hAnsi="Noto Serif" w:eastAsia="Noto Serif"/>
          <w:sz w:val="20"/>
        </w:rPr>
        <w:t>Aici apare una dintre cele mai persistente confuzii evolutive: dacă o tulburare psihică este parțial ereditară și există încă în populație, trebuie să fi oferit cândva un avantaj. Nu neapărat.</w:t>
      </w:r>
    </w:p>
    <w:p>
      <w:pPr>
        <w:widowControl/>
        <w:spacing w:after="124" w:line="264" w:lineRule="auto"/>
      </w:pPr>
      <w:r>
        <w:rPr>
          <w:rFonts w:ascii="Noto Serif" w:hAnsi="Noto Serif" w:eastAsia="Noto Serif"/>
          <w:sz w:val="20"/>
        </w:rPr>
        <w:t>Selecția poate menține variante cu efecte mixte; mutația poate reintroduce variante dăunătoare; efectele pot apărea după reproducere; aceleași variante pot avea consecințe diferite în combinații diferite; arhitectura poligenică poate împiedica „curățarea” simplă. Persistența nu este dovada adaptării.</w:t>
      </w:r>
    </w:p>
    <w:p>
      <w:pPr>
        <w:widowControl/>
        <w:spacing w:after="124" w:line="264" w:lineRule="auto"/>
      </w:pPr>
      <w:r>
        <w:rPr>
          <w:rFonts w:ascii="Noto Serif" w:hAnsi="Noto Serif" w:eastAsia="Noto Serif"/>
          <w:sz w:val="20"/>
        </w:rPr>
        <w:t>Un studiu genomic pe 150.656 de islandezi fără diagnosticele analizate a examinat scoruri poligenice pentru autism, ADHD, schizofrenie, tulburare bipolară și depresie majoră. Un scor mai mare de risc pentru autism era asociat cu mai puțini copii și o vârstă mai mare la primul copil; scorul pentru ADHD era asociat cu mai mulți copii. Autorii nu au găsit avantaj reproductiv pentru scorurile ridicate de schizofrenie sau bipolaritate. Variantele rare de tip copy-number cu risc psihiatric moderat sau mare erau asociate cu mai puțini copii (Mullins et al., 2017).</w:t>
      </w:r>
    </w:p>
    <w:p>
      <w:pPr>
        <w:widowControl/>
        <w:spacing w:after="124" w:line="264" w:lineRule="auto"/>
      </w:pPr>
      <w:r>
        <w:rPr>
          <w:rFonts w:ascii="Noto Serif" w:hAnsi="Noto Serif" w:eastAsia="Noto Serif"/>
          <w:sz w:val="20"/>
        </w:rPr>
        <w:t>Acest tablou este aproape opus poveștii populare în care „boala se răspândește pentru că modernitatea îi permite”. Pentru multe tulburări severe, fertilitatea este mai mică.</w:t>
      </w:r>
    </w:p>
    <w:p>
      <w:pPr>
        <w:widowControl/>
        <w:spacing w:after="124" w:line="264" w:lineRule="auto"/>
      </w:pPr>
      <w:r>
        <w:rPr>
          <w:rFonts w:ascii="Noto Serif" w:hAnsi="Noto Serif" w:eastAsia="Noto Serif"/>
          <w:sz w:val="20"/>
        </w:rPr>
        <w:t>Datele populaționale norvegiene publicate în 2025, bazate pe registre naționale, găsesc în general rate de naștere mai mici la persoanele cu tulburări psihice, cu diferențe importante între diagnostice și sexe. Relațiile se atenuează când sunt luate în calcul parteneriatul, educația, venitul și alți factori, ceea ce arată cât de mult este mediată reproducerea prin integrarea socială (Kravdal, Flatø &amp; Torvik, 2025).</w:t>
      </w:r>
    </w:p>
    <w:p>
      <w:pPr>
        <w:keepNext/>
        <w:widowControl/>
        <w:spacing w:before="240" w:after="100"/>
      </w:pPr>
      <w:r>
        <w:rPr>
          <w:rFonts w:ascii="Noto Sans" w:hAnsi="Noto Sans" w:eastAsia="Noto Sans"/>
          <w:b/>
          <w:color w:val="2D373C"/>
          <w:sz w:val="24"/>
        </w:rPr>
        <w:t>De ce nu dispar?</w:t>
      </w:r>
    </w:p>
    <w:p>
      <w:pPr>
        <w:widowControl/>
        <w:spacing w:after="124" w:line="264" w:lineRule="auto"/>
      </w:pPr>
      <w:r>
        <w:rPr>
          <w:rFonts w:ascii="Noto Serif" w:hAnsi="Noto Serif" w:eastAsia="Noto Serif"/>
          <w:sz w:val="20"/>
        </w:rPr>
        <w:t>Pentru trăsături și tulburări poligenice, nu există un singur buton genetic pe care selecția să îl oprească. Variante individuale pot avea efecte minuscule și pleiotrope. Unele componente ale unei predispoziții pot fi avantajoase la nivel subclinic și dezavantajoase la extreme, dar această idee trebuie demonstrată pentru fiecare trăsătură, nu presupusă.</w:t>
      </w:r>
    </w:p>
    <w:p>
      <w:pPr>
        <w:widowControl/>
        <w:spacing w:after="124" w:line="264" w:lineRule="auto"/>
      </w:pPr>
      <w:r>
        <w:rPr>
          <w:rFonts w:ascii="Noto Serif" w:hAnsi="Noto Serif" w:eastAsia="Noto Serif"/>
          <w:sz w:val="20"/>
        </w:rPr>
        <w:t>ADHD este un exemplu interesant tocmai fiindcă scorul poligenic a fost asociat în Islanda cu mai mulți copii. Dar asta nu înseamnă că „ADHD este selectat pozitiv” ca diagnostic. Scorul genetic reflectă o distribuție de variante, efectele sunt mici, iar succesul reproductiv într-o societate nu este universal.</w:t>
      </w:r>
    </w:p>
    <w:p>
      <w:pPr>
        <w:keepNext/>
        <w:widowControl/>
        <w:spacing w:before="240" w:after="100"/>
      </w:pPr>
      <w:r>
        <w:rPr>
          <w:rFonts w:ascii="Noto Sans" w:hAnsi="Noto Sans" w:eastAsia="Noto Sans"/>
          <w:b/>
          <w:color w:val="2D373C"/>
          <w:sz w:val="24"/>
        </w:rPr>
        <w:t>O politică fără eugenie</w:t>
      </w:r>
    </w:p>
    <w:p>
      <w:pPr>
        <w:widowControl/>
        <w:spacing w:after="124" w:line="264" w:lineRule="auto"/>
      </w:pPr>
      <w:r>
        <w:rPr>
          <w:rFonts w:ascii="Noto Serif" w:hAnsi="Noto Serif" w:eastAsia="Noto Serif"/>
          <w:sz w:val="20"/>
        </w:rPr>
        <w:t>Dacă societatea afectează diferit reproducerea persoanelor cu tulburări psihice, răspunsul etic nu este să optimizăm compoziția genetică. Este să reducem suferința, discriminarea și barierele care transformă o condiție tratabilă într-o excludere socială completă. Libertatea reproductivă include și posibilitatea reală a persoanelor cu dizabilități sau tulburări de a forma relații și familii dacă doresc.</w:t>
      </w:r>
    </w:p>
    <w:p>
      <w:pPr>
        <w:widowControl/>
        <w:spacing w:after="124" w:line="264" w:lineRule="auto"/>
      </w:pPr>
      <w:r>
        <w:rPr>
          <w:rFonts w:ascii="Noto Serif" w:hAnsi="Noto Serif" w:eastAsia="Noto Serif"/>
          <w:sz w:val="20"/>
        </w:rPr>
        <w:t>Un sistem uman nu trebuie evaluat după cât de eficient selectează oameni „buni”, ci după cât de puțin transformă vulnerabilitățile în condamnări sociale ereditare.</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CONCLUZIE ÎMPOTRIVA SENZAȚIONALISMULUI</w:t>
            </w:r>
            <w:r>
              <w:rPr>
                <w:rFonts w:ascii="Noto Sans" w:hAnsi="Noto Sans" w:eastAsia="Noto Sans"/>
                <w:b/>
                <w:color w:val="696969"/>
                <w:sz w:val="16"/>
              </w:rPr>
              <w:t xml:space="preserve">  SOLID PENTRU DIRECȚIA GENERALĂ</w:t>
            </w:r>
          </w:p>
          <w:p>
            <w:pPr>
              <w:spacing w:after="20" w:line="252" w:lineRule="auto"/>
            </w:pPr>
            <w:r>
              <w:rPr>
                <w:rFonts w:ascii="Noto Serif" w:hAnsi="Noto Serif" w:eastAsia="Noto Serif"/>
                <w:sz w:val="19"/>
              </w:rPr>
              <w:t>Dovezile disponibile nu susțin ideea că societățile moderne produc o creștere generală a predispozițiilor pentru tulburări psihice severe prin avantaj reproductiv. Pentru multe diagnostice, asocierea observată merge în direcția opusă.</w:t>
            </w:r>
          </w:p>
        </w:tc>
      </w:tr>
    </w:tbl>
    <w:p>
      <w:pPr>
        <w:widowControl/>
        <w:spacing w:after="20"/>
      </w:pPr>
    </w:p>
    <w:p>
      <w:pPr>
        <w:widowControl/>
      </w:pPr>
      <w:r>
        <w:br w:type="page"/>
      </w:r>
    </w:p>
    <w:p>
      <w:pPr>
        <w:widowControl/>
        <w:spacing w:before="1800"/>
        <w:jc w:val="center"/>
      </w:pPr>
      <w:r>
        <w:rPr>
          <w:rFonts w:ascii="Noto Sans" w:hAnsi="Noto Sans" w:eastAsia="Noto Sans"/>
          <w:b/>
          <w:color w:val="696969"/>
          <w:sz w:val="19"/>
        </w:rPr>
        <w:t>PARTEA IV</w:t>
      </w:r>
    </w:p>
    <w:p>
      <w:pPr>
        <w:widowControl/>
        <w:spacing w:before="160" w:after="240"/>
        <w:jc w:val="center"/>
      </w:pPr>
      <w:r>
        <w:rPr>
          <w:rFonts w:ascii="Noto Serif" w:hAnsi="Noto Serif" w:eastAsia="Noto Serif"/>
          <w:b/>
          <w:color w:val="1F2E36"/>
          <w:sz w:val="54"/>
        </w:rPr>
        <w:t>PATRU VIITORURI</w:t>
      </w:r>
    </w:p>
    <w:p>
      <w:pPr>
        <w:widowControl/>
        <w:jc w:val="center"/>
      </w:pPr>
      <w:r>
        <w:rPr>
          <w:rFonts w:ascii="Noto Serif" w:hAnsi="Noto Serif" w:eastAsia="Noto Serif"/>
          <w:i/>
          <w:color w:val="5A5A5A"/>
          <w:sz w:val="23"/>
        </w:rPr>
        <w:t>Scenariile nu sunt predicții. Sunt experimente mentale construite din mecanisme observabile.</w:t>
      </w:r>
    </w:p>
    <w:p>
      <w:pPr>
        <w:widowControl/>
      </w:pPr>
      <w:r>
        <w:br w:type="page"/>
      </w:r>
    </w:p>
    <w:p>
      <w:pPr>
        <w:widowControl/>
        <w:spacing w:before="560" w:after="60"/>
      </w:pPr>
      <w:r>
        <w:rPr>
          <w:rFonts w:ascii="Noto Sans" w:hAnsi="Noto Sans" w:eastAsia="Noto Sans"/>
          <w:b/>
          <w:color w:val="5C5C5C"/>
          <w:sz w:val="18"/>
        </w:rPr>
        <w:t>CAPITOLUL 16</w:t>
      </w:r>
    </w:p>
    <w:p>
      <w:pPr>
        <w:keepNext/>
        <w:widowControl/>
        <w:spacing w:after="200"/>
      </w:pPr>
      <w:r>
        <w:rPr>
          <w:rFonts w:ascii="Noto Serif" w:hAnsi="Noto Serif" w:eastAsia="Noto Serif"/>
          <w:b/>
          <w:color w:val="202A30"/>
          <w:sz w:val="50"/>
        </w:rPr>
        <w:t>Megapolisul meritocratic</w:t>
      </w:r>
    </w:p>
    <w:p>
      <w:pPr>
        <w:widowControl/>
        <w:spacing w:after="400"/>
      </w:pPr>
      <w:r>
        <w:rPr>
          <w:rFonts w:ascii="Noto Serif" w:hAnsi="Noto Serif" w:eastAsia="Noto Serif"/>
          <w:i/>
          <w:color w:val="5A5A5A"/>
          <w:sz w:val="23"/>
        </w:rPr>
        <w:t>O civilizație care atrage cei mai mobili oameni, îi specializează și apoi îi face greu de înlocuit.</w:t>
      </w:r>
    </w:p>
    <w:p>
      <w:pPr>
        <w:widowControl/>
        <w:spacing w:after="124" w:line="264" w:lineRule="auto"/>
      </w:pPr>
      <w:r>
        <w:rPr>
          <w:rFonts w:ascii="Noto Serif" w:hAnsi="Noto Serif" w:eastAsia="Noto Serif"/>
          <w:sz w:val="20"/>
        </w:rPr>
        <w:t>Să extrapolăm tendințele actuale. În 2100, o mare parte a activității economice și culturale este concentrată în megaregiuni urbane. Educația se prelungește. Competiția pentru poziții de elită începe devreme și se termină târziu. Locuințele centrale sunt scumpe, iar oamenii se mută frecvent după oportunități. AI automatizează munca de rutină, dar crește valoarea celor care coordonează sisteme complexe, cercetează, creează sau asumă decizii cu miză mare.</w:t>
      </w:r>
    </w:p>
    <w:p>
      <w:pPr>
        <w:widowControl/>
        <w:spacing w:after="124" w:line="264" w:lineRule="auto"/>
      </w:pPr>
      <w:r>
        <w:rPr>
          <w:rFonts w:ascii="Noto Serif" w:hAnsi="Noto Serif" w:eastAsia="Noto Serif"/>
          <w:sz w:val="20"/>
        </w:rPr>
        <w:t>Acest sistem este extrem de productiv. Este și un posibil filtru reproductiv.</w:t>
      </w:r>
    </w:p>
    <w:p>
      <w:pPr>
        <w:widowControl/>
        <w:spacing w:after="124" w:line="264" w:lineRule="auto"/>
      </w:pPr>
      <w:r>
        <w:rPr>
          <w:rFonts w:ascii="Noto Serif" w:hAnsi="Noto Serif" w:eastAsia="Noto Serif"/>
          <w:sz w:val="20"/>
        </w:rPr>
        <w:t>Cine intră? Probabil disproporționat oameni mobili, educați, orientați spre oportunități, adesea mai deschiși la experiență și mai proactivi. Cine rămâne? Cei care găsesc nișe profesionale bune sau comunități. Cine are trei copii? Poate nu cei cu cea mai mare productivitate profesională, ci cei ale căror valori, venituri, rețele sau religii fac familia numeroasă compatibilă cu orașul.</w:t>
      </w:r>
    </w:p>
    <w:p>
      <w:pPr>
        <w:widowControl/>
        <w:spacing w:after="124" w:line="264" w:lineRule="auto"/>
      </w:pPr>
      <w:r>
        <w:rPr>
          <w:rFonts w:ascii="Noto Serif" w:hAnsi="Noto Serif" w:eastAsia="Noto Serif"/>
          <w:sz w:val="20"/>
        </w:rPr>
        <w:t>În câteva generații, megapolisul poate deveni o mașină culturală alimentată din exterior. El atrage oameni, le schimbă normele, le reduce fertilitatea și cere o nouă cohortă de migranți. Atâta timp cât există hinterland demografic, sistemul funcționează. Dacă fertilitatea scade global, competiția pentru tineri devine geopolitică.</w:t>
      </w:r>
    </w:p>
    <w:p>
      <w:pPr>
        <w:keepNext/>
        <w:widowControl/>
        <w:spacing w:before="240" w:after="100"/>
      </w:pPr>
      <w:r>
        <w:rPr>
          <w:rFonts w:ascii="Noto Sans" w:hAnsi="Noto Sans" w:eastAsia="Noto Sans"/>
          <w:b/>
          <w:color w:val="2D373C"/>
          <w:sz w:val="24"/>
        </w:rPr>
        <w:t>Nu urmează automat „idiocrația”</w:t>
      </w:r>
    </w:p>
    <w:p>
      <w:pPr>
        <w:widowControl/>
        <w:spacing w:after="124" w:line="264" w:lineRule="auto"/>
      </w:pPr>
      <w:r>
        <w:rPr>
          <w:rFonts w:ascii="Noto Serif" w:hAnsi="Noto Serif" w:eastAsia="Noto Serif"/>
          <w:sz w:val="20"/>
        </w:rPr>
        <w:t>Este tentant să deducem că dacă educația se corelează negativ cu fertilitatea, capitalul cognitiv va scădea inevitabil. Această concluzie este prea simplă. Educația nu este inteligență, scorurile poligenice au putere predictivă limitată și sunt contextuale, iar mediul educațional poate compensa sau amplifica diferențe. Mai mult, fertilitatea pe nivel educațional se poate curba și poate reacționa la politici.</w:t>
      </w:r>
    </w:p>
    <w:p>
      <w:pPr>
        <w:widowControl/>
        <w:spacing w:after="124" w:line="264" w:lineRule="auto"/>
      </w:pPr>
      <w:r>
        <w:rPr>
          <w:rFonts w:ascii="Noto Serif" w:hAnsi="Noto Serif" w:eastAsia="Noto Serif"/>
          <w:sz w:val="20"/>
        </w:rPr>
        <w:t>Riscul real este instituțional: dacă societatea face reproducerea incompatibilă cu exact traseele pe care le declară valoroase, creează o tensiune între reproducerea culturală și cea biologică. Universitățile, laboratoarele, spitalele și firmele pot continua să formeze oameni foarte capabili, dar depind de o populație care dorește și poate să producă următoarea cohortă.</w:t>
      </w:r>
    </w:p>
    <w:p>
      <w:pPr>
        <w:keepNext/>
        <w:widowControl/>
        <w:spacing w:before="240" w:after="100"/>
      </w:pPr>
      <w:r>
        <w:rPr>
          <w:rFonts w:ascii="Noto Sans" w:hAnsi="Noto Sans" w:eastAsia="Noto Sans"/>
          <w:b/>
          <w:color w:val="2D373C"/>
          <w:sz w:val="24"/>
        </w:rPr>
        <w:t>Selecția pentru rezistență la oraș</w:t>
      </w:r>
    </w:p>
    <w:p>
      <w:pPr>
        <w:widowControl/>
        <w:spacing w:after="124" w:line="264" w:lineRule="auto"/>
      </w:pPr>
      <w:r>
        <w:rPr>
          <w:rFonts w:ascii="Noto Serif" w:hAnsi="Noto Serif" w:eastAsia="Noto Serif"/>
          <w:sz w:val="20"/>
        </w:rPr>
        <w:t>Într-un megapolis persistent cu fertilitate joasă, ar putea apărea pe termen lung selecție pentru combinații de predispoziții care fac reproducerea mai probabilă în acel mediu: preferință mai puternică pentru familie, capacitate de a menține parteneriate stabile, toleranță la aglomerație, rețele religioase sau comunitare dense. Dar este aproape sigur că selecția culturală va preceda selecția genetică. Grupurile cu norme familiale robuste se pot extinde demografic mult mai repede decât poate evolua o trăsătură complexă.</w:t>
      </w:r>
    </w:p>
    <w:p>
      <w:pPr>
        <w:widowControl/>
        <w:spacing w:after="124" w:line="264" w:lineRule="auto"/>
      </w:pPr>
      <w:r>
        <w:rPr>
          <w:rFonts w:ascii="Noto Serif" w:hAnsi="Noto Serif" w:eastAsia="Noto Serif"/>
          <w:sz w:val="20"/>
        </w:rPr>
        <w:t>Megapolisul meritocratic nu selectează un „om urban” unic. Selectează, mai întâi, comunitățile capabile să se reproducă în condițiile lui.</w:t>
      </w:r>
    </w:p>
    <w:p>
      <w:pPr>
        <w:widowControl/>
      </w:pPr>
      <w:r>
        <w:br w:type="page"/>
      </w:r>
    </w:p>
    <w:p>
      <w:pPr>
        <w:widowControl/>
        <w:spacing w:before="560" w:after="60"/>
      </w:pPr>
      <w:r>
        <w:rPr>
          <w:rFonts w:ascii="Noto Sans" w:hAnsi="Noto Sans" w:eastAsia="Noto Sans"/>
          <w:b/>
          <w:color w:val="5C5C5C"/>
          <w:sz w:val="18"/>
        </w:rPr>
        <w:t>CAPITOLUL 17</w:t>
      </w:r>
    </w:p>
    <w:p>
      <w:pPr>
        <w:keepNext/>
        <w:widowControl/>
        <w:spacing w:after="200"/>
      </w:pPr>
      <w:r>
        <w:rPr>
          <w:rFonts w:ascii="Noto Serif" w:hAnsi="Noto Serif" w:eastAsia="Noto Serif"/>
          <w:b/>
          <w:color w:val="202A30"/>
          <w:sz w:val="50"/>
        </w:rPr>
        <w:t>Arhipelagul neo-tribal</w:t>
      </w:r>
    </w:p>
    <w:p>
      <w:pPr>
        <w:widowControl/>
        <w:spacing w:after="400"/>
      </w:pPr>
      <w:r>
        <w:rPr>
          <w:rFonts w:ascii="Noto Serif" w:hAnsi="Noto Serif" w:eastAsia="Noto Serif"/>
          <w:i/>
          <w:color w:val="5A5A5A"/>
          <w:sz w:val="23"/>
        </w:rPr>
        <w:t>Mai multă apartenență, mai multă fertilitate posibilă - și un preț în toleranța dintre grupuri.</w:t>
      </w:r>
    </w:p>
    <w:p>
      <w:pPr>
        <w:widowControl/>
        <w:spacing w:after="124" w:line="264" w:lineRule="auto"/>
      </w:pPr>
      <w:r>
        <w:rPr>
          <w:rFonts w:ascii="Noto Serif" w:hAnsi="Noto Serif" w:eastAsia="Noto Serif"/>
          <w:sz w:val="20"/>
        </w:rPr>
        <w:t>Al doilea viitor nu este întoarcerea literală la sat. Este fragmentarea lumii în comunități dense de identitate: religioase, ideologice, etnice, profesionale sau digitale, unele cu teritoriu, altele distribuite global. AI face posibilă administrarea unor instituții mici, iar munca remote reduce nevoia de centru metropolitan. Oamenii aleg comunități cu reguli mai clare și relații mai repetate.</w:t>
      </w:r>
    </w:p>
    <w:p>
      <w:pPr>
        <w:widowControl/>
        <w:spacing w:after="124" w:line="264" w:lineRule="auto"/>
      </w:pPr>
      <w:r>
        <w:rPr>
          <w:rFonts w:ascii="Noto Serif" w:hAnsi="Noto Serif" w:eastAsia="Noto Serif"/>
          <w:sz w:val="20"/>
        </w:rPr>
        <w:t>Un asemenea sistem poate rezolva două probleme ale megapolisului: singurătatea și costul cooperării familiale. Comunitățile pot împărți îngrijirea copiilor, pot crea reputație densă și pot acorda statut parentalității. Dacă normele sunt pronataliste, diferențele de fertilitate pot deveni mari.</w:t>
      </w:r>
    </w:p>
    <w:p>
      <w:pPr>
        <w:widowControl/>
        <w:spacing w:after="124" w:line="264" w:lineRule="auto"/>
      </w:pPr>
      <w:r>
        <w:rPr>
          <w:rFonts w:ascii="Noto Serif" w:hAnsi="Noto Serif" w:eastAsia="Noto Serif"/>
          <w:sz w:val="20"/>
        </w:rPr>
        <w:t>Din perspectiva cultural group selection, grupurile care reușesc să mențină cooperarea, să transmită normele și să producă următoarea generație pot crește relativ la grupurile care nu o fac. Cultura poate acționa aici ca un multiplicator demografic.</w:t>
      </w:r>
    </w:p>
    <w:p>
      <w:pPr>
        <w:keepNext/>
        <w:widowControl/>
        <w:spacing w:before="240" w:after="100"/>
      </w:pPr>
      <w:r>
        <w:rPr>
          <w:rFonts w:ascii="Noto Sans" w:hAnsi="Noto Sans" w:eastAsia="Noto Sans"/>
          <w:b/>
          <w:color w:val="2D373C"/>
          <w:sz w:val="24"/>
        </w:rPr>
        <w:t>Prețul tightness-ului</w:t>
      </w:r>
    </w:p>
    <w:p>
      <w:pPr>
        <w:widowControl/>
        <w:spacing w:after="124" w:line="264" w:lineRule="auto"/>
      </w:pPr>
      <w:r>
        <w:rPr>
          <w:rFonts w:ascii="Noto Serif" w:hAnsi="Noto Serif" w:eastAsia="Noto Serif"/>
          <w:sz w:val="20"/>
        </w:rPr>
        <w:t>Dar comunitatea densă vine cu control. Normele puternice reduc incertitudinea și free-riding-ul, dar pot penaliza devianța. Oamenii ale căror profiluri psihologice sau valori nu se potrivesc au mai puține nișe. Dacă ieșirea din grup este costisitoare, protecția devine captivitate.</w:t>
      </w:r>
    </w:p>
    <w:p>
      <w:pPr>
        <w:widowControl/>
        <w:spacing w:after="124" w:line="264" w:lineRule="auto"/>
      </w:pPr>
      <w:r>
        <w:rPr>
          <w:rFonts w:ascii="Noto Serif" w:hAnsi="Noto Serif" w:eastAsia="Noto Serif"/>
          <w:sz w:val="20"/>
        </w:rPr>
        <w:t>Mai grav, arhipelagurile pot coopera slab între ele. Încrederea internă ridicată poate coexista cu suspiciunea față de outgroup. Algoritmii de comunicare pot întări granițele. Paranoia politică poate deveni funcțională pentru liderii care mențin coeziunea prin amenințări externe.</w:t>
      </w:r>
    </w:p>
    <w:p>
      <w:pPr>
        <w:keepNext/>
        <w:widowControl/>
        <w:spacing w:before="240" w:after="100"/>
      </w:pPr>
      <w:r>
        <w:rPr>
          <w:rFonts w:ascii="Noto Sans" w:hAnsi="Noto Sans" w:eastAsia="Noto Sans"/>
          <w:b/>
          <w:color w:val="2D373C"/>
          <w:sz w:val="24"/>
        </w:rPr>
        <w:t>Selecția prin fertilitate diferențială</w:t>
      </w:r>
    </w:p>
    <w:p>
      <w:pPr>
        <w:widowControl/>
        <w:spacing w:after="124" w:line="264" w:lineRule="auto"/>
      </w:pPr>
      <w:r>
        <w:rPr>
          <w:rFonts w:ascii="Noto Serif" w:hAnsi="Noto Serif" w:eastAsia="Noto Serif"/>
          <w:sz w:val="20"/>
        </w:rPr>
        <w:t>Dacă unele comunități mențin 3-4 copii per femeie și altele 1-1,5 pentru multe generații, ponderea lor relativă se schimbă rapid. Ce se transmite este în primul rând cultura: religia, normele, rețelele. Dacă trăsăturile psihologice relevante sunt parțial ereditare și există assortative mating, poate apărea și o componentă genetică. Dar nu trebuie să o presupunem; efectul cultural este suficient de puternic pentru a explica mare parte din dinamică.</w:t>
      </w:r>
    </w:p>
    <w:p>
      <w:pPr>
        <w:widowControl/>
        <w:spacing w:after="124" w:line="264" w:lineRule="auto"/>
      </w:pPr>
      <w:r>
        <w:rPr>
          <w:rFonts w:ascii="Noto Serif" w:hAnsi="Noto Serif" w:eastAsia="Noto Serif"/>
          <w:sz w:val="20"/>
        </w:rPr>
        <w:t>Arhipelagul neo-tribal este demografic robust, dar politic fragil. El maximizează apartenența locală și riscă să piardă spațiul comun.</w:t>
      </w:r>
    </w:p>
    <w:p>
      <w:pPr>
        <w:widowControl/>
        <w:spacing w:after="124" w:line="264" w:lineRule="auto"/>
      </w:pPr>
      <w:r>
        <w:rPr>
          <w:rFonts w:ascii="Noto Serif" w:hAnsi="Noto Serif" w:eastAsia="Noto Serif"/>
          <w:sz w:val="20"/>
        </w:rPr>
        <w:t>Problema de design este cum obținem beneficiile tribului fără suveranitatea totală a tribului: comunități intermediare puternice, dar cu drept real de ieșire; identități locale, dar instituții universale de drept; rețele de sprijin, dar fără monopol asupra informației și partenerilor.</w:t>
      </w:r>
    </w:p>
    <w:p>
      <w:pPr>
        <w:widowControl/>
      </w:pPr>
      <w:r>
        <w:br w:type="page"/>
      </w:r>
    </w:p>
    <w:p>
      <w:pPr>
        <w:widowControl/>
        <w:spacing w:before="560" w:after="60"/>
      </w:pPr>
      <w:r>
        <w:rPr>
          <w:rFonts w:ascii="Noto Sans" w:hAnsi="Noto Sans" w:eastAsia="Noto Sans"/>
          <w:b/>
          <w:color w:val="5C5C5C"/>
          <w:sz w:val="18"/>
        </w:rPr>
        <w:t>CAPITOLUL 18</w:t>
      </w:r>
    </w:p>
    <w:p>
      <w:pPr>
        <w:keepNext/>
        <w:widowControl/>
        <w:spacing w:after="200"/>
      </w:pPr>
      <w:r>
        <w:rPr>
          <w:rFonts w:ascii="Noto Serif" w:hAnsi="Noto Serif" w:eastAsia="Noto Serif"/>
          <w:b/>
          <w:color w:val="202A30"/>
          <w:sz w:val="50"/>
        </w:rPr>
        <w:t>Metropola de proximitate</w:t>
      </w:r>
    </w:p>
    <w:p>
      <w:pPr>
        <w:widowControl/>
        <w:spacing w:after="400"/>
      </w:pPr>
      <w:r>
        <w:rPr>
          <w:rFonts w:ascii="Noto Serif" w:hAnsi="Noto Serif" w:eastAsia="Noto Serif"/>
          <w:i/>
          <w:color w:val="5A5A5A"/>
          <w:sz w:val="23"/>
        </w:rPr>
        <w:t>Poate exista densitate fără atomizare și libertate fără infertilitate structurală?</w:t>
      </w:r>
    </w:p>
    <w:p>
      <w:pPr>
        <w:widowControl/>
        <w:spacing w:after="124" w:line="264" w:lineRule="auto"/>
      </w:pPr>
      <w:r>
        <w:rPr>
          <w:rFonts w:ascii="Noto Serif" w:hAnsi="Noto Serif" w:eastAsia="Noto Serif"/>
          <w:sz w:val="20"/>
        </w:rPr>
        <w:t>Al treilea scenariu este mai puțin spectaculos și, probabil, mai dezirabil: nu abandonăm orașele, ci le remodelăm în jurul biologiei sociale umane.</w:t>
      </w:r>
    </w:p>
    <w:p>
      <w:pPr>
        <w:widowControl/>
        <w:spacing w:after="124" w:line="264" w:lineRule="auto"/>
      </w:pPr>
      <w:r>
        <w:rPr>
          <w:rFonts w:ascii="Noto Serif" w:hAnsi="Noto Serif" w:eastAsia="Noto Serif"/>
          <w:sz w:val="20"/>
        </w:rPr>
        <w:t>Metropola de proximitate este densă, dar nu obligă viața cotidiană la distanțe mari. Locuințele familiale nu sunt exilate la periferie. Școala, parcul, serviciile de îngrijire, sănătatea și o parte din muncă sunt accesibile aproape. Cartierele sunt suficient de stabile încât relațiile repetate să apară, dar suficient de deschise încât oamenii să poată alege comunități.</w:t>
      </w:r>
    </w:p>
    <w:p>
      <w:pPr>
        <w:widowControl/>
        <w:spacing w:after="124" w:line="264" w:lineRule="auto"/>
      </w:pPr>
      <w:r>
        <w:rPr>
          <w:rFonts w:ascii="Noto Serif" w:hAnsi="Noto Serif" w:eastAsia="Noto Serif"/>
          <w:sz w:val="20"/>
        </w:rPr>
        <w:t>Aceasta nu este doar urbanistică. Este o intervenție asupra filtrelor reproductive identificate mai devreme.</w:t>
      </w:r>
    </w:p>
    <w:p>
      <w:pPr>
        <w:keepNext/>
        <w:widowControl/>
        <w:spacing w:before="240" w:after="100"/>
      </w:pPr>
      <w:r>
        <w:rPr>
          <w:rFonts w:ascii="Noto Sans" w:hAnsi="Noto Sans" w:eastAsia="Noto Sans"/>
          <w:b/>
          <w:color w:val="2D373C"/>
          <w:sz w:val="24"/>
        </w:rPr>
        <w:t>Reduce costul copilului marginal</w:t>
      </w:r>
    </w:p>
    <w:p>
      <w:pPr>
        <w:widowControl/>
        <w:spacing w:after="124" w:line="264" w:lineRule="auto"/>
      </w:pPr>
      <w:r>
        <w:rPr>
          <w:rFonts w:ascii="Noto Serif" w:hAnsi="Noto Serif" w:eastAsia="Noto Serif"/>
          <w:sz w:val="20"/>
        </w:rPr>
        <w:t>Dacă al doilea copil nu cere încă o oră de navetă, mutarea departe de prieteni și renunțarea unuia dintre părinți la carieră, fertilitatea dorită are șanse mai mari să devină fertilitate realizată. Politica familială eficientă poate fi, în această perspectivă, mai mult despre timp și spațiu decât despre bonusuri.</w:t>
      </w:r>
    </w:p>
    <w:p>
      <w:pPr>
        <w:keepNext/>
        <w:widowControl/>
        <w:spacing w:before="240" w:after="100"/>
      </w:pPr>
      <w:r>
        <w:rPr>
          <w:rFonts w:ascii="Noto Sans" w:hAnsi="Noto Sans" w:eastAsia="Noto Sans"/>
          <w:b/>
          <w:color w:val="2D373C"/>
          <w:sz w:val="24"/>
        </w:rPr>
        <w:t>Reface alloparenting-ul</w:t>
      </w:r>
    </w:p>
    <w:p>
      <w:pPr>
        <w:widowControl/>
        <w:spacing w:after="124" w:line="264" w:lineRule="auto"/>
      </w:pPr>
      <w:r>
        <w:rPr>
          <w:rFonts w:ascii="Noto Serif" w:hAnsi="Noto Serif" w:eastAsia="Noto Serif"/>
          <w:sz w:val="20"/>
        </w:rPr>
        <w:t>Nu putem recrea automat clanul, dar putem crea infrastructuri în care părinții nu sunt singuri: creșe bune, școli cu program compatibil, spații comune, cooperative de îngrijire, locuire intergenerațională opțională, programe de lucru flexibile. O societate cu două venituri poate funcționa familial dacă nu cere ca doi adulți să simuleze singuri un întreg sat.</w:t>
      </w:r>
    </w:p>
    <w:p>
      <w:pPr>
        <w:keepNext/>
        <w:widowControl/>
        <w:spacing w:before="240" w:after="100"/>
      </w:pPr>
      <w:r>
        <w:rPr>
          <w:rFonts w:ascii="Noto Sans" w:hAnsi="Noto Sans" w:eastAsia="Noto Sans"/>
          <w:b/>
          <w:color w:val="2D373C"/>
          <w:sz w:val="24"/>
        </w:rPr>
        <w:t>Conservă nișele</w:t>
      </w:r>
    </w:p>
    <w:p>
      <w:pPr>
        <w:widowControl/>
        <w:spacing w:after="124" w:line="264" w:lineRule="auto"/>
      </w:pPr>
      <w:r>
        <w:rPr>
          <w:rFonts w:ascii="Noto Serif" w:hAnsi="Noto Serif" w:eastAsia="Noto Serif"/>
          <w:sz w:val="20"/>
        </w:rPr>
        <w:t>Spre deosebire de neo-tribalism, metropola de proximitate păstrează diversitatea de roluri. Spre deosebire de megapolisul hipercentralizat, reduce costul mobilității cotidiene și poate stabiliza relațiile locale. Idealul este un sistem cu nișe profesionale multe și comunități de viață suficient de mici.</w:t>
      </w:r>
    </w:p>
    <w:p>
      <w:pPr>
        <w:widowControl/>
        <w:spacing w:after="124" w:line="264" w:lineRule="auto"/>
      </w:pPr>
      <w:r>
        <w:rPr>
          <w:rFonts w:ascii="Noto Serif" w:hAnsi="Noto Serif" w:eastAsia="Noto Serif"/>
          <w:sz w:val="20"/>
        </w:rPr>
        <w:t>Acest scenariu are și o virtute evolutivă: reduce selecția artificială produsă de incompatibilitatea dintre familie și anumite cariere sau personalități. Nu selectează pentru un profil; face mai neutru mediul reproductiv. Oamenii care doresc copii au mai puține obstacole arbitrare, indiferent dacă sunt cercetători, artiști, antreprenori, introvertiți, extravertiți, mobili sau ancorați local.</w:t>
      </w:r>
    </w:p>
    <w:p>
      <w:pPr>
        <w:keepNext/>
        <w:widowControl/>
        <w:spacing w:before="240" w:after="100"/>
      </w:pPr>
      <w:r>
        <w:rPr>
          <w:rFonts w:ascii="Noto Sans" w:hAnsi="Noto Sans" w:eastAsia="Noto Sans"/>
          <w:b/>
          <w:color w:val="2D373C"/>
          <w:sz w:val="24"/>
        </w:rPr>
        <w:t>O normă filosofică: neutralitate reproductivă rezonabilă</w:t>
      </w:r>
    </w:p>
    <w:p>
      <w:pPr>
        <w:widowControl/>
        <w:spacing w:after="124" w:line="264" w:lineRule="auto"/>
      </w:pPr>
      <w:r>
        <w:rPr>
          <w:rFonts w:ascii="Noto Serif" w:hAnsi="Noto Serif" w:eastAsia="Noto Serif"/>
          <w:sz w:val="20"/>
        </w:rPr>
        <w:t>Neutralitatea completă este imposibilă. Orice societate face unele vieți mai ușoare decât altele. Dar putem urmări un criteriu: instituțiile să nu transforme sistematic trăsături social valoroase sau stiluri de viață legitime într-un handicap reproductiv sever fără un motiv necesar.</w:t>
      </w:r>
    </w:p>
    <w:p>
      <w:pPr>
        <w:widowControl/>
        <w:spacing w:after="124" w:line="264" w:lineRule="auto"/>
      </w:pPr>
      <w:r>
        <w:rPr>
          <w:rFonts w:ascii="Noto Serif" w:hAnsi="Noto Serif" w:eastAsia="Noto Serif"/>
          <w:sz w:val="20"/>
        </w:rPr>
        <w:t>În acest sens, politica demografică nu trebuie să spună oamenilor câți copii să aibă. Trebuie să reducă diferența dintre câți spun că își doresc și câți pot avea în mod realist.</w:t>
      </w:r>
    </w:p>
    <w:p>
      <w:pPr>
        <w:widowControl/>
        <w:spacing w:after="124" w:line="264" w:lineRule="auto"/>
      </w:pPr>
      <w:r>
        <w:rPr>
          <w:rFonts w:ascii="Noto Serif" w:hAnsi="Noto Serif" w:eastAsia="Noto Serif"/>
          <w:sz w:val="20"/>
        </w:rPr>
        <w:t>O societate liberă nu maximizează natalitatea. Maximizează posibilitatea ca alegerile reproductive să fie alegeri, nu accidente ale infrastructurii.</w:t>
      </w:r>
    </w:p>
    <w:tbl>
      <w:tblPr>
        <w:tblW w:type="auto" w:w="0"/>
        <w:jc w:val="center"/>
        <w:tblLayout w:type="fixed"/>
        <w:tblLook w:firstColumn="1" w:firstRow="1" w:lastColumn="0" w:lastRow="0" w:noHBand="0" w:noVBand="1" w:val="04A0"/>
      </w:tblPr>
      <w:tblGrid>
        <w:gridCol w:w="6912"/>
      </w:tblGrid>
      <w:tr>
        <w:tc>
          <w:tcPr>
            <w:tcW w:type="dxa" w:w="6739"/>
            <w:vAlign w:val="center"/>
            <w:shd w:fill="F3F1EC"/>
          </w:tcPr>
          <w:p>
            <w:pPr>
              <w:spacing w:after="60"/>
            </w:pPr>
            <w:r>
              <w:rPr>
                <w:rFonts w:ascii="Noto Sans" w:hAnsi="Noto Sans" w:eastAsia="Noto Sans"/>
                <w:b/>
                <w:color w:val="4B4E4F"/>
                <w:sz w:val="17"/>
              </w:rPr>
              <w:t>POZIȚIA CĂRȚII</w:t>
            </w:r>
            <w:r>
              <w:rPr>
                <w:rFonts w:ascii="Noto Sans" w:hAnsi="Noto Sans" w:eastAsia="Noto Sans"/>
                <w:b/>
                <w:color w:val="696969"/>
                <w:sz w:val="16"/>
              </w:rPr>
              <w:t xml:space="preserve">  RECOMANDARE NORMATIVĂ</w:t>
            </w:r>
          </w:p>
          <w:p>
            <w:pPr>
              <w:spacing w:after="20" w:line="252" w:lineRule="auto"/>
            </w:pPr>
            <w:r>
              <w:rPr>
                <w:rFonts w:ascii="Noto Serif" w:hAnsi="Noto Serif" w:eastAsia="Noto Serif"/>
                <w:sz w:val="19"/>
              </w:rPr>
              <w:t>Dintre scenariile analizate, cea mai robustă direcție este o societate policentrică: orașe dense, dar family-compatible; comunități locale puternice, dar permeabile; multe nișe profesionale și culturale; drept de ieșire; infrastructură care reduce conflictul artificial dintre educație, autonomie și familie.</w:t>
            </w:r>
          </w:p>
        </w:tc>
      </w:tr>
    </w:tbl>
    <w:p>
      <w:pPr>
        <w:widowControl/>
        <w:spacing w:after="20"/>
      </w:pPr>
    </w:p>
    <w:p>
      <w:pPr>
        <w:widowControl/>
      </w:pPr>
      <w:r>
        <w:br w:type="page"/>
      </w:r>
    </w:p>
    <w:p>
      <w:pPr>
        <w:widowControl/>
        <w:spacing w:before="560" w:after="60"/>
      </w:pPr>
      <w:r>
        <w:rPr>
          <w:rFonts w:ascii="Noto Sans" w:hAnsi="Noto Sans" w:eastAsia="Noto Sans"/>
          <w:b/>
          <w:color w:val="5C5C5C"/>
          <w:sz w:val="18"/>
        </w:rPr>
        <w:t>CAPITOLUL 19</w:t>
      </w:r>
    </w:p>
    <w:p>
      <w:pPr>
        <w:keepNext/>
        <w:widowControl/>
        <w:spacing w:after="200"/>
      </w:pPr>
      <w:r>
        <w:rPr>
          <w:rFonts w:ascii="Noto Serif" w:hAnsi="Noto Serif" w:eastAsia="Noto Serif"/>
          <w:b/>
          <w:color w:val="202A30"/>
          <w:sz w:val="50"/>
        </w:rPr>
        <w:t>Reproducerea algoritmică</w:t>
      </w:r>
    </w:p>
    <w:p>
      <w:pPr>
        <w:widowControl/>
        <w:spacing w:after="400"/>
      </w:pPr>
      <w:r>
        <w:rPr>
          <w:rFonts w:ascii="Noto Serif" w:hAnsi="Noto Serif" w:eastAsia="Noto Serif"/>
          <w:i/>
          <w:color w:val="5A5A5A"/>
          <w:sz w:val="23"/>
        </w:rPr>
        <w:t>Când selecția nu mai vine doar din instituții, ci din funcția de ranking.</w:t>
      </w:r>
    </w:p>
    <w:p>
      <w:pPr>
        <w:widowControl/>
        <w:spacing w:after="124" w:line="264" w:lineRule="auto"/>
      </w:pPr>
      <w:r>
        <w:rPr>
          <w:rFonts w:ascii="Noto Serif" w:hAnsi="Noto Serif" w:eastAsia="Noto Serif"/>
          <w:sz w:val="20"/>
        </w:rPr>
        <w:t>Al patrulea viitor este deja parțial aici. Partenerii se întâlnesc prin platforme. Algoritmii decid cine devine vizibil. Reputația socială este filtrată prin scoruri, recomandări și rețele. Tehnologiile reproductive cresc posibilitatea de a separa sexul, cuplul, sarcina și moștenirea genetică în etape distincte.</w:t>
      </w:r>
    </w:p>
    <w:p>
      <w:pPr>
        <w:widowControl/>
        <w:spacing w:after="124" w:line="264" w:lineRule="auto"/>
      </w:pPr>
      <w:r>
        <w:rPr>
          <w:rFonts w:ascii="Noto Serif" w:hAnsi="Noto Serif" w:eastAsia="Noto Serif"/>
          <w:sz w:val="20"/>
        </w:rPr>
        <w:t>Această lume introduce o formă nouă de selecție: nu neapărat genetică în sensul clasic, ci algoritmică înainte de reproducere.</w:t>
      </w:r>
    </w:p>
    <w:p>
      <w:pPr>
        <w:keepNext/>
        <w:widowControl/>
        <w:spacing w:before="240" w:after="100"/>
      </w:pPr>
      <w:r>
        <w:rPr>
          <w:rFonts w:ascii="Noto Sans" w:hAnsi="Noto Sans" w:eastAsia="Noto Sans"/>
          <w:b/>
          <w:color w:val="2D373C"/>
          <w:sz w:val="24"/>
        </w:rPr>
        <w:t>Matching-ul schimbă distribuția întâlnirilor</w:t>
      </w:r>
    </w:p>
    <w:p>
      <w:pPr>
        <w:widowControl/>
        <w:spacing w:after="124" w:line="264" w:lineRule="auto"/>
      </w:pPr>
      <w:r>
        <w:rPr>
          <w:rFonts w:ascii="Noto Serif" w:hAnsi="Noto Serif" w:eastAsia="Noto Serif"/>
          <w:sz w:val="20"/>
        </w:rPr>
        <w:t>Dacă un sistem recomandă parteneri pe baza educației, veniturilor, atractivității sau preferințelor, poate crește assortative mating. Chiar dacă fiecare utilizator decide liber, arhitectura de vizibilitate modifică probabilitățile. Un parametru de ranking poate avea efecte demografice agregate fără să fi fost proiectat cu acest scop.</w:t>
      </w:r>
    </w:p>
    <w:p>
      <w:pPr>
        <w:widowControl/>
        <w:spacing w:after="124" w:line="264" w:lineRule="auto"/>
      </w:pPr>
      <w:r>
        <w:rPr>
          <w:rFonts w:ascii="Noto Serif" w:hAnsi="Noto Serif" w:eastAsia="Noto Serif"/>
          <w:sz w:val="20"/>
        </w:rPr>
        <w:t>Platformele pot produce și winner-take-more dynamics: o mică parte dintre utilizatori primesc disproporționat de multă atenție. Dacă acest pattern se traduce în relații și reproducere, varianța succesului de împerechere poate crește. Dacă nu, rămâne doar o economie a atenției. Avem nevoie de date pe termen lung, nu de anecdote.</w:t>
      </w:r>
    </w:p>
    <w:p>
      <w:pPr>
        <w:keepNext/>
        <w:widowControl/>
        <w:spacing w:before="240" w:after="100"/>
      </w:pPr>
      <w:r>
        <w:rPr>
          <w:rFonts w:ascii="Noto Sans" w:hAnsi="Noto Sans" w:eastAsia="Noto Sans"/>
          <w:b/>
          <w:color w:val="2D373C"/>
          <w:sz w:val="24"/>
        </w:rPr>
        <w:t>De la matching la selecție explicită</w:t>
      </w:r>
    </w:p>
    <w:p>
      <w:pPr>
        <w:widowControl/>
        <w:spacing w:after="124" w:line="264" w:lineRule="auto"/>
      </w:pPr>
      <w:r>
        <w:rPr>
          <w:rFonts w:ascii="Noto Serif" w:hAnsi="Noto Serif" w:eastAsia="Noto Serif"/>
          <w:sz w:val="20"/>
        </w:rPr>
        <w:t>Screeningul genetic pentru boli monogenice este deja o realitate clinică. Pe măsură ce scorurile poligenice devin disponibile pentru trăsături complexe, apare tentația de a optimiza embrioni pentru probabilități statistice. Aici trebuie o prudență radicală. Scorurile sunt populație-dependente, au putere predictivă limitată pentru multe trăsături, efecte pleiotrope și incertitudini mari. A transforma o predicție probabilistică într-o ierarhie de „calitate umană” ar fi științific naiv și etic periculos.</w:t>
      </w:r>
    </w:p>
    <w:p>
      <w:pPr>
        <w:widowControl/>
        <w:spacing w:after="124" w:line="264" w:lineRule="auto"/>
      </w:pPr>
      <w:r>
        <w:rPr>
          <w:rFonts w:ascii="Noto Serif" w:hAnsi="Noto Serif" w:eastAsia="Noto Serif"/>
          <w:sz w:val="20"/>
        </w:rPr>
        <w:t>Mai subtilă este eugenia de piață fără eugenist. Nimeni nu emite un decret; milioane de familii aleg independent pe baza acelorași valori comerciale și a acelorași scoruri. Dacă interfața prezintă anumite caracteristici ca „mai bune”, sistemul poate standardiza preferințe la scară mare.</w:t>
      </w:r>
    </w:p>
    <w:p>
      <w:pPr>
        <w:keepNext/>
        <w:widowControl/>
        <w:spacing w:before="240" w:after="100"/>
      </w:pPr>
      <w:r>
        <w:rPr>
          <w:rFonts w:ascii="Noto Sans" w:hAnsi="Noto Sans" w:eastAsia="Noto Sans"/>
          <w:b/>
          <w:color w:val="2D373C"/>
          <w:sz w:val="24"/>
        </w:rPr>
        <w:t>AI ca mediator al valorilor reproductive</w:t>
      </w:r>
    </w:p>
    <w:p>
      <w:pPr>
        <w:widowControl/>
        <w:spacing w:after="124" w:line="264" w:lineRule="auto"/>
      </w:pPr>
      <w:r>
        <w:rPr>
          <w:rFonts w:ascii="Noto Serif" w:hAnsi="Noto Serif" w:eastAsia="Noto Serif"/>
          <w:sz w:val="20"/>
        </w:rPr>
        <w:t>Un AI care recomandă parteneri sau explică riscuri genetice nu este neutru doar pentru că nu are intenții. Funcția de optimizare, setul de date și formularea opțiunilor codifică valori. Într-un domeniu atât de sensibil, diversitatea trebuie tratată ca o proprietate de siguranță.</w:t>
      </w:r>
    </w:p>
    <w:p>
      <w:pPr>
        <w:widowControl/>
        <w:spacing w:after="124" w:line="264" w:lineRule="auto"/>
      </w:pPr>
      <w:r>
        <w:rPr>
          <w:rFonts w:ascii="Noto Serif" w:hAnsi="Noto Serif" w:eastAsia="Noto Serif"/>
          <w:sz w:val="20"/>
        </w:rPr>
        <w:t>Paradoxal, AI poate fi folosit și în direcția opusă: să reducă fricțiunea vieții familiale, să coordoneze servicii, să ajute persoane izolate să găsească comunități compatibile, să facă munca flexibilă și să reducă costul birocratic al parentalității. Aceeași tehnologie poate intensifica filtrarea sau poate neutraliza filtre arbitrare.</w:t>
      </w:r>
    </w:p>
    <w:p>
      <w:pPr>
        <w:widowControl/>
        <w:spacing w:after="124" w:line="264" w:lineRule="auto"/>
      </w:pPr>
      <w:r>
        <w:rPr>
          <w:rFonts w:ascii="Noto Serif" w:hAnsi="Noto Serif" w:eastAsia="Noto Serif"/>
          <w:sz w:val="20"/>
        </w:rPr>
        <w:t>Viitorul reproducerii algoritmice nu depinde doar de ce poate calcula AI. Depinde de ce refuzăm să transformăm într-un scor.</w:t>
      </w:r>
    </w:p>
    <w:p>
      <w:pPr>
        <w:widowControl/>
      </w:pPr>
      <w:r>
        <w:br w:type="page"/>
      </w:r>
    </w:p>
    <w:p>
      <w:pPr>
        <w:widowControl/>
        <w:spacing w:before="560" w:after="60"/>
      </w:pPr>
      <w:r>
        <w:rPr>
          <w:rFonts w:ascii="Noto Sans" w:hAnsi="Noto Sans" w:eastAsia="Noto Sans"/>
          <w:b/>
          <w:color w:val="5C5C5C"/>
          <w:sz w:val="18"/>
        </w:rPr>
        <w:t>CAPITOLUL 20</w:t>
      </w:r>
    </w:p>
    <w:p>
      <w:pPr>
        <w:keepNext/>
        <w:widowControl/>
        <w:spacing w:after="200"/>
      </w:pPr>
      <w:r>
        <w:rPr>
          <w:rFonts w:ascii="Noto Serif" w:hAnsi="Noto Serif" w:eastAsia="Noto Serif"/>
          <w:b/>
          <w:color w:val="202A30"/>
          <w:sz w:val="50"/>
        </w:rPr>
        <w:t>Societatea pe care alegem să o selectăm</w:t>
      </w:r>
    </w:p>
    <w:p>
      <w:pPr>
        <w:widowControl/>
        <w:spacing w:after="400"/>
      </w:pPr>
      <w:r>
        <w:rPr>
          <w:rFonts w:ascii="Noto Serif" w:hAnsi="Noto Serif" w:eastAsia="Noto Serif"/>
          <w:i/>
          <w:color w:val="5A5A5A"/>
          <w:sz w:val="23"/>
        </w:rPr>
        <w:t>Nu putem elimina selecția. Putem alege ce tip de mediu construim.</w:t>
      </w:r>
    </w:p>
    <w:p>
      <w:pPr>
        <w:widowControl/>
        <w:spacing w:after="124" w:line="264" w:lineRule="auto"/>
      </w:pPr>
      <w:r>
        <w:rPr>
          <w:rFonts w:ascii="Noto Serif" w:hAnsi="Noto Serif" w:eastAsia="Noto Serif"/>
          <w:sz w:val="20"/>
        </w:rPr>
        <w:t>Ajunși aici, întrebarea de la început ar trebui să arate diferit. Nu: „ce tip de om selectează societatea?” Ci: „ce mecanisme instituționale fac unele strategii de viață reproductiv viabile și pe altele improbabile, și sunt aceste diferențe necesare sau accidentale?”</w:t>
      </w:r>
    </w:p>
    <w:p>
      <w:pPr>
        <w:widowControl/>
        <w:spacing w:after="124" w:line="264" w:lineRule="auto"/>
      </w:pPr>
      <w:r>
        <w:rPr>
          <w:rFonts w:ascii="Noto Serif" w:hAnsi="Noto Serif" w:eastAsia="Noto Serif"/>
          <w:sz w:val="20"/>
        </w:rPr>
        <w:t>Această reformulare schimbă și politica. Dacă vrem o populație sănătoasă și o civilizație pluralistă, nu trebuie să alegem gene. Trebuie să proiectăm compatibilități.</w:t>
      </w:r>
    </w:p>
    <w:p>
      <w:pPr>
        <w:keepNext/>
        <w:widowControl/>
        <w:spacing w:before="240" w:after="100"/>
      </w:pPr>
      <w:r>
        <w:rPr>
          <w:rFonts w:ascii="Noto Sans" w:hAnsi="Noto Sans" w:eastAsia="Noto Sans"/>
          <w:b/>
          <w:color w:val="2D373C"/>
          <w:sz w:val="24"/>
        </w:rPr>
        <w:t>1. Separă succesul de sacrificiul familial obligatoriu</w:t>
      </w:r>
    </w:p>
    <w:p>
      <w:pPr>
        <w:widowControl/>
        <w:spacing w:after="124" w:line="264" w:lineRule="auto"/>
      </w:pPr>
      <w:r>
        <w:rPr>
          <w:rFonts w:ascii="Noto Serif" w:hAnsi="Noto Serif" w:eastAsia="Noto Serif"/>
          <w:sz w:val="20"/>
        </w:rPr>
        <w:t>Instituțiile de elită au adesea o normă ascunsă: disponibilitate totală exact în anii în care oamenii formează familii. Granturile, rezidențiatele, firmele, universitățile și administrațiile pot muta recompensele astfel încât parentalitatea să nu fie interpretată ca lipsă de seriozitate. Aceasta nu este doar echitate; reduce un filtru reproductiv arbitrar.</w:t>
      </w:r>
    </w:p>
    <w:p>
      <w:pPr>
        <w:keepNext/>
        <w:widowControl/>
        <w:spacing w:before="240" w:after="100"/>
      </w:pPr>
      <w:r>
        <w:rPr>
          <w:rFonts w:ascii="Noto Sans" w:hAnsi="Noto Sans" w:eastAsia="Noto Sans"/>
          <w:b/>
          <w:color w:val="2D373C"/>
          <w:sz w:val="24"/>
        </w:rPr>
        <w:t>2. Protejează diversitatea de nișe</w:t>
      </w:r>
    </w:p>
    <w:p>
      <w:pPr>
        <w:widowControl/>
        <w:spacing w:after="124" w:line="264" w:lineRule="auto"/>
      </w:pPr>
      <w:r>
        <w:rPr>
          <w:rFonts w:ascii="Noto Serif" w:hAnsi="Noto Serif" w:eastAsia="Noto Serif"/>
          <w:sz w:val="20"/>
        </w:rPr>
        <w:t>O societate rezilientă are nevoie de exploratori și conservatori, introvertiți și extravertiți, oameni orientați spre reguli și oameni care le pun la îndoială. Nicio distribuție optimă nu poate fi calculată în avans pentru un viitor incert. Diversitatea comportamentală funcționează ca un portofoliu de strategii.</w:t>
      </w:r>
    </w:p>
    <w:p>
      <w:pPr>
        <w:keepNext/>
        <w:widowControl/>
        <w:spacing w:before="240" w:after="100"/>
      </w:pPr>
      <w:r>
        <w:rPr>
          <w:rFonts w:ascii="Noto Sans" w:hAnsi="Noto Sans" w:eastAsia="Noto Sans"/>
          <w:b/>
          <w:color w:val="2D373C"/>
          <w:sz w:val="24"/>
        </w:rPr>
        <w:t>3. Construiește comunități intermediare</w:t>
      </w:r>
    </w:p>
    <w:p>
      <w:pPr>
        <w:widowControl/>
        <w:spacing w:after="124" w:line="264" w:lineRule="auto"/>
      </w:pPr>
      <w:r>
        <w:rPr>
          <w:rFonts w:ascii="Noto Serif" w:hAnsi="Noto Serif" w:eastAsia="Noto Serif"/>
          <w:sz w:val="20"/>
        </w:rPr>
        <w:t>Familia nucleară și statul național lasă un gol între doi adulți și milioane de cetățeni. Asociații, cartiere, cluburi, comunități profesionale, cooperative, școli și rețele de prieteni pot umple acest nivel. Ele reduc singurătatea și reconstruiesc cooperarea fără a cere tribalism total.</w:t>
      </w:r>
    </w:p>
    <w:p>
      <w:pPr>
        <w:keepNext/>
        <w:widowControl/>
        <w:spacing w:before="240" w:after="100"/>
      </w:pPr>
      <w:r>
        <w:rPr>
          <w:rFonts w:ascii="Noto Sans" w:hAnsi="Noto Sans" w:eastAsia="Noto Sans"/>
          <w:b/>
          <w:color w:val="2D373C"/>
          <w:sz w:val="24"/>
        </w:rPr>
        <w:t>4. Păstrează dreptul de ieșire</w:t>
      </w:r>
    </w:p>
    <w:p>
      <w:pPr>
        <w:widowControl/>
        <w:spacing w:after="124" w:line="264" w:lineRule="auto"/>
      </w:pPr>
      <w:r>
        <w:rPr>
          <w:rFonts w:ascii="Noto Serif" w:hAnsi="Noto Serif" w:eastAsia="Noto Serif"/>
          <w:sz w:val="20"/>
        </w:rPr>
        <w:t>Comunitățile puternice devin periculoase când costul ieșirii este prohibitiv. O societate pluralistă trebuie să permită apartenență densă și mobilitate. Această combinație este dificilă, dar esențială pentru a evita selecția culturală prin constrângere.</w:t>
      </w:r>
    </w:p>
    <w:p>
      <w:pPr>
        <w:keepNext/>
        <w:widowControl/>
        <w:spacing w:before="240" w:after="100"/>
      </w:pPr>
      <w:r>
        <w:rPr>
          <w:rFonts w:ascii="Noto Sans" w:hAnsi="Noto Sans" w:eastAsia="Noto Sans"/>
          <w:b/>
          <w:color w:val="2D373C"/>
          <w:sz w:val="24"/>
        </w:rPr>
        <w:t>5. Măsoară fertilitatea dorită versus realizată</w:t>
      </w:r>
    </w:p>
    <w:p>
      <w:pPr>
        <w:widowControl/>
        <w:spacing w:after="124" w:line="264" w:lineRule="auto"/>
      </w:pPr>
      <w:r>
        <w:rPr>
          <w:rFonts w:ascii="Noto Serif" w:hAnsi="Noto Serif" w:eastAsia="Noto Serif"/>
          <w:sz w:val="20"/>
        </w:rPr>
        <w:t>O rată mică a natalității poate reflecta preferințe autentice sau bariere. Politica legitimă nu trebuie să maximizeze nașterile, ci să înțeleagă diferența. Dacă oamenii vor un copil și au un copil, nu există aceeași problemă ca atunci când vor doi și au unul din cauza locuinței, timpului, infertilității sau lipsei de partener.</w:t>
      </w:r>
    </w:p>
    <w:p>
      <w:pPr>
        <w:keepNext/>
        <w:widowControl/>
        <w:spacing w:before="240" w:after="100"/>
      </w:pPr>
      <w:r>
        <w:rPr>
          <w:rFonts w:ascii="Noto Sans" w:hAnsi="Noto Sans" w:eastAsia="Noto Sans"/>
          <w:b/>
          <w:color w:val="2D373C"/>
          <w:sz w:val="24"/>
        </w:rPr>
        <w:t>6. Nu transforma diagnosticul în destin</w:t>
      </w:r>
    </w:p>
    <w:p>
      <w:pPr>
        <w:widowControl/>
        <w:spacing w:after="124" w:line="264" w:lineRule="auto"/>
      </w:pPr>
      <w:r>
        <w:rPr>
          <w:rFonts w:ascii="Noto Serif" w:hAnsi="Noto Serif" w:eastAsia="Noto Serif"/>
          <w:sz w:val="20"/>
        </w:rPr>
        <w:t>Persoanele cu tulburări psihice sau dizabilități nu sunt „material genetic” al societății. Intervenția justificată urmărește suferința și autonomia, nu purificarea populației. O civilizație decentă acceptă că vulnerabilitatea face parte din distribuția umană.</w:t>
      </w:r>
    </w:p>
    <w:p>
      <w:pPr>
        <w:keepNext/>
        <w:widowControl/>
        <w:spacing w:before="240" w:after="100"/>
      </w:pPr>
      <w:r>
        <w:rPr>
          <w:rFonts w:ascii="Noto Sans" w:hAnsi="Noto Sans" w:eastAsia="Noto Sans"/>
          <w:b/>
          <w:color w:val="2D373C"/>
          <w:sz w:val="24"/>
        </w:rPr>
        <w:t>7. Auditează algoritmii care mediază împerecherea</w:t>
      </w:r>
    </w:p>
    <w:p>
      <w:pPr>
        <w:widowControl/>
        <w:spacing w:after="124" w:line="264" w:lineRule="auto"/>
      </w:pPr>
      <w:r>
        <w:rPr>
          <w:rFonts w:ascii="Noto Serif" w:hAnsi="Noto Serif" w:eastAsia="Noto Serif"/>
          <w:sz w:val="20"/>
        </w:rPr>
        <w:t>Platformele de dating, rețelele sociale și eventualele instrumente reproductive pot schimba cine întâlnește pe cine. Efectele de concentrare, discriminare și assortative mating merită tratate ca impact social, nu doar ca metrici de produs.</w:t>
      </w:r>
    </w:p>
    <w:p>
      <w:pPr>
        <w:keepNext/>
        <w:widowControl/>
        <w:spacing w:before="240" w:after="100"/>
      </w:pPr>
      <w:r>
        <w:rPr>
          <w:rFonts w:ascii="Noto Sans" w:hAnsi="Noto Sans" w:eastAsia="Noto Sans"/>
          <w:b/>
          <w:color w:val="2D373C"/>
          <w:sz w:val="24"/>
        </w:rPr>
        <w:t>8. Gândește în generații, nu în trimestre</w:t>
      </w:r>
    </w:p>
    <w:p>
      <w:pPr>
        <w:widowControl/>
        <w:spacing w:after="124" w:line="264" w:lineRule="auto"/>
      </w:pPr>
      <w:r>
        <w:rPr>
          <w:rFonts w:ascii="Noto Serif" w:hAnsi="Noto Serif" w:eastAsia="Noto Serif"/>
          <w:sz w:val="20"/>
        </w:rPr>
        <w:t>O politică poate crește PIB-ul și reduce simultan capacitatea de reproducere socială: timp pentru copii, stabilitate locativă, școli bune, sănătate mentală, încredere. Indicatorii economici nu surprind automat aceste externalități.</w:t>
      </w:r>
    </w:p>
    <w:p>
      <w:pPr>
        <w:widowControl/>
        <w:spacing w:before="120" w:after="160"/>
        <w:ind w:left="360" w:right="216"/>
      </w:pPr>
      <w:r>
        <w:rPr>
          <w:rFonts w:ascii="Noto Serif" w:hAnsi="Noto Serif" w:eastAsia="Noto Serif"/>
          <w:i/>
          <w:color w:val="474849"/>
          <w:sz w:val="22"/>
        </w:rPr>
        <w:t>Fiecare societate este o teorie despre om, scrisă în stimulente. Fiecare generație testează teoria prin viețile pe care reușește să le continue.</w:t>
      </w:r>
    </w:p>
    <w:p>
      <w:pPr>
        <w:widowControl/>
        <w:spacing w:after="124" w:line="264" w:lineRule="auto"/>
      </w:pPr>
      <w:r>
        <w:rPr>
          <w:rFonts w:ascii="Noto Serif" w:hAnsi="Noto Serif" w:eastAsia="Noto Serif"/>
          <w:sz w:val="20"/>
        </w:rPr>
        <w:t>Nu putem construi o lume fără selecție. Orice mediu favorizează unele comportamente. Putem, însă, construi o lume în care selecția nu este un accident opac al chiriilor, navetei, algoritmilor și prestigiului. Putem face din pluralism nu doar o valoare declarată, ci o proprietate demografică.</w:t>
      </w:r>
    </w:p>
    <w:p>
      <w:pPr>
        <w:widowControl/>
      </w:pPr>
      <w:r>
        <w:br w:type="page"/>
      </w:r>
    </w:p>
    <w:p>
      <w:pPr>
        <w:widowControl/>
        <w:spacing w:before="500"/>
      </w:pPr>
      <w:r>
        <w:rPr>
          <w:rFonts w:ascii="Noto Sans" w:hAnsi="Noto Sans" w:eastAsia="Noto Sans"/>
          <w:b/>
          <w:color w:val="646464"/>
          <w:sz w:val="20"/>
        </w:rPr>
        <w:t>EPILOG</w:t>
      </w:r>
    </w:p>
    <w:p>
      <w:pPr>
        <w:widowControl/>
      </w:pPr>
      <w:r>
        <w:rPr>
          <w:rFonts w:ascii="Noto Serif" w:hAnsi="Noto Serif" w:eastAsia="Noto Serif"/>
          <w:b/>
          <w:color w:val="1F2C32"/>
          <w:sz w:val="50"/>
        </w:rPr>
        <w:t>Dispariția nu este un eveniment</w:t>
      </w:r>
    </w:p>
    <w:p>
      <w:pPr>
        <w:widowControl/>
        <w:spacing w:after="124" w:line="264" w:lineRule="auto"/>
      </w:pPr>
      <w:r>
        <w:rPr>
          <w:rFonts w:ascii="Noto Serif" w:hAnsi="Noto Serif" w:eastAsia="Noto Serif"/>
          <w:sz w:val="20"/>
        </w:rPr>
        <w:t>Speciile dispar când ultimul individ moare. Societățile dispar altfel: când ultimul copil nu mai învață limba, când o profesie nu mai are ucenici, când o comunitate nu mai produce adulți care doresc să o continue, când instituțiile rămân în picioare dar trebuie alimentate permanent din exterior pentru că propriul lor mod de viață nu se reproduce.</w:t>
      </w:r>
    </w:p>
    <w:p>
      <w:pPr>
        <w:widowControl/>
        <w:spacing w:after="124" w:line="264" w:lineRule="auto"/>
      </w:pPr>
      <w:r>
        <w:rPr>
          <w:rFonts w:ascii="Noto Serif" w:hAnsi="Noto Serif" w:eastAsia="Noto Serif"/>
          <w:sz w:val="20"/>
        </w:rPr>
        <w:t>Nu există nimic moral în fertilitate ca număr. O viață fără copii poate fi completă, valoroasă și aleasă liber. O societate decentă nu transformă reproducerea în obligație. Dar la nivel agregat, o civilizație care nu produce o generație următoare nu poate evita consecința folosind vocabular mai elegant.</w:t>
      </w:r>
    </w:p>
    <w:p>
      <w:pPr>
        <w:widowControl/>
        <w:spacing w:after="124" w:line="264" w:lineRule="auto"/>
      </w:pPr>
      <w:r>
        <w:rPr>
          <w:rFonts w:ascii="Noto Serif" w:hAnsi="Noto Serif" w:eastAsia="Noto Serif"/>
          <w:sz w:val="20"/>
        </w:rPr>
        <w:t>Marea întrebare a secolului XXI nu este dacă oamenii vor înceta să existe. Este ce forme de viață socială se vor dovedi compatibile cu continuitatea.</w:t>
      </w:r>
    </w:p>
    <w:p>
      <w:pPr>
        <w:widowControl/>
        <w:spacing w:after="124" w:line="264" w:lineRule="auto"/>
      </w:pPr>
      <w:r>
        <w:rPr>
          <w:rFonts w:ascii="Noto Serif" w:hAnsi="Noto Serif" w:eastAsia="Noto Serif"/>
          <w:sz w:val="20"/>
        </w:rPr>
        <w:t>Poate că megapolisurile vor învăța să devină sate suprapuse. Poate că AI va reduce costul logistic al familiei. Poate că munca își va pierde centralitatea, iar timpul va reveni în gospodărie și comunitate. Poate că noile triburi vor oferi apartenență, dar vor trebui temperate de drepturi universale. Poate că tehnologiile reproductive vor extinde libertatea fără să standardizeze omul. Sau poate vom continua să optimizăm fiecare instituție local - universitatea pentru performanță, orașul pentru prețul terenului, firma pentru profit, platforma pentru engagement - și vom descoperi că sistemul global a optimizat accidental împotriva propriei reproduceri.</w:t>
      </w:r>
    </w:p>
    <w:p>
      <w:pPr>
        <w:widowControl/>
        <w:spacing w:after="124" w:line="264" w:lineRule="auto"/>
      </w:pPr>
      <w:r>
        <w:rPr>
          <w:rFonts w:ascii="Noto Serif" w:hAnsi="Noto Serif" w:eastAsia="Noto Serif"/>
          <w:sz w:val="20"/>
        </w:rPr>
        <w:t>Selecția nu are plan. Noi avem.</w:t>
      </w:r>
    </w:p>
    <w:p>
      <w:pPr>
        <w:widowControl/>
        <w:spacing w:after="124" w:line="264" w:lineRule="auto"/>
      </w:pPr>
      <w:r>
        <w:rPr>
          <w:rFonts w:ascii="Noto Serif" w:hAnsi="Noto Serif" w:eastAsia="Noto Serif"/>
          <w:sz w:val="20"/>
        </w:rPr>
        <w:t>Aceasta este diferența morală dintre evoluție și civilizație. Evoluția păstrează ceea ce se reproduce. Civilizația poate întreba, înainte de asta, ce merită să poată continua.</w:t>
      </w:r>
    </w:p>
    <w:p>
      <w:pPr>
        <w:widowControl/>
      </w:pPr>
      <w:r>
        <w:br w:type="page"/>
      </w:r>
    </w:p>
    <w:p>
      <w:pPr>
        <w:widowControl/>
      </w:pPr>
      <w:r>
        <w:rPr>
          <w:rFonts w:ascii="Noto Sans" w:hAnsi="Noto Sans" w:eastAsia="Noto Sans"/>
          <w:b/>
          <w:color w:val="646464"/>
          <w:sz w:val="20"/>
        </w:rPr>
        <w:t>ANEXĂ</w:t>
      </w:r>
    </w:p>
    <w:p>
      <w:pPr>
        <w:widowControl/>
      </w:pPr>
      <w:r>
        <w:rPr>
          <w:rFonts w:ascii="Noto Serif" w:hAnsi="Noto Serif" w:eastAsia="Noto Serif"/>
          <w:b/>
          <w:color w:val="1F2C32"/>
          <w:sz w:val="46"/>
        </w:rPr>
        <w:t>Harta dovezilor și criterii de falsificare</w:t>
      </w:r>
    </w:p>
    <w:p>
      <w:pPr>
        <w:widowControl/>
        <w:spacing w:after="124" w:line="264" w:lineRule="auto"/>
      </w:pPr>
      <w:r>
        <w:rPr>
          <w:rFonts w:ascii="Noto Serif" w:hAnsi="Noto Serif" w:eastAsia="Noto Serif"/>
          <w:sz w:val="20"/>
        </w:rPr>
        <w:t>Cartea a folosit trei niveluri de certitudine: rezultate robuste și replicate; rezultate sugestive, dar dependente de măsurare și context; și scenarii speculative. Tabelul de mai jos rezumă afirmațiile care susțin argumentul central.</w:t>
      </w:r>
    </w:p>
    <w:tbl>
      <w:tblPr>
        <w:tblW w:type="auto" w:w="0"/>
        <w:jc w:val="center"/>
        <w:tblLayout w:type="fixed"/>
        <w:tblLook w:firstColumn="1" w:firstRow="1" w:lastColumn="0" w:lastRow="0" w:noHBand="0" w:noVBand="1" w:val="04A0"/>
      </w:tblPr>
      <w:tblGrid>
        <w:gridCol w:w="2520"/>
        <w:gridCol w:w="1080"/>
        <w:gridCol w:w="2448"/>
        <w:gridCol w:w="2088"/>
      </w:tblGrid>
      <w:tr>
        <w:tc>
          <w:tcPr>
            <w:tcW w:type="dxa" w:w="1685"/>
            <w:shd w:fill="E7E4DD"/>
          </w:tcPr>
          <w:p>
            <w:r>
              <w:rPr>
                <w:rFonts w:ascii="Noto Sans" w:hAnsi="Noto Sans" w:eastAsia="Noto Sans"/>
                <w:b/>
                <w:sz w:val="14"/>
              </w:rPr>
              <w:t>Afirmație</w:t>
            </w:r>
          </w:p>
        </w:tc>
        <w:tc>
          <w:tcPr>
            <w:tcW w:type="dxa" w:w="1685"/>
            <w:shd w:fill="E7E4DD"/>
          </w:tcPr>
          <w:p>
            <w:r>
              <w:rPr>
                <w:rFonts w:ascii="Noto Sans" w:hAnsi="Noto Sans" w:eastAsia="Noto Sans"/>
                <w:b/>
                <w:sz w:val="14"/>
              </w:rPr>
              <w:t>Încredere</w:t>
            </w:r>
          </w:p>
        </w:tc>
        <w:tc>
          <w:tcPr>
            <w:tcW w:type="dxa" w:w="1685"/>
            <w:shd w:fill="E7E4DD"/>
          </w:tcPr>
          <w:p>
            <w:r>
              <w:rPr>
                <w:rFonts w:ascii="Noto Sans" w:hAnsi="Noto Sans" w:eastAsia="Noto Sans"/>
                <w:b/>
                <w:sz w:val="14"/>
              </w:rPr>
              <w:t>Baza empirică</w:t>
            </w:r>
          </w:p>
        </w:tc>
        <w:tc>
          <w:tcPr>
            <w:tcW w:type="dxa" w:w="1685"/>
            <w:shd w:fill="E7E4DD"/>
          </w:tcPr>
          <w:p>
            <w:r>
              <w:rPr>
                <w:rFonts w:ascii="Noto Sans" w:hAnsi="Noto Sans" w:eastAsia="Noto Sans"/>
                <w:b/>
                <w:sz w:val="14"/>
              </w:rPr>
              <w:t>Ce ar falsifica-o / limita-o</w:t>
            </w:r>
          </w:p>
        </w:tc>
      </w:tr>
      <w:tr>
        <w:tc>
          <w:tcPr>
            <w:tcW w:type="dxa" w:w="2520"/>
            <w:vAlign w:val="top"/>
          </w:tcPr>
          <w:p>
            <w:pPr>
              <w:spacing w:after="20"/>
            </w:pPr>
            <w:r>
              <w:rPr>
                <w:rFonts w:ascii="Noto Serif" w:hAnsi="Noto Serif" w:eastAsia="Noto Serif"/>
                <w:sz w:val="14"/>
              </w:rPr>
              <w:t>Personalitatea are o componentă ereditară moderată în interiorul populațiilor.</w:t>
            </w:r>
          </w:p>
        </w:tc>
        <w:tc>
          <w:tcPr>
            <w:tcW w:type="dxa" w:w="1080"/>
            <w:vAlign w:val="top"/>
          </w:tcPr>
          <w:p>
            <w:pPr>
              <w:spacing w:after="20"/>
            </w:pPr>
            <w:r>
              <w:rPr>
                <w:rFonts w:ascii="Noto Serif" w:hAnsi="Noto Serif" w:eastAsia="Noto Serif"/>
                <w:sz w:val="14"/>
              </w:rPr>
              <w:t>Ridicat</w:t>
            </w:r>
          </w:p>
        </w:tc>
        <w:tc>
          <w:tcPr>
            <w:tcW w:type="dxa" w:w="2448"/>
            <w:vAlign w:val="top"/>
          </w:tcPr>
          <w:p>
            <w:pPr>
              <w:spacing w:after="20"/>
            </w:pPr>
            <w:r>
              <w:rPr>
                <w:rFonts w:ascii="Noto Serif" w:hAnsi="Noto Serif" w:eastAsia="Noto Serif"/>
                <w:sz w:val="14"/>
              </w:rPr>
              <w:t>Meta-analiză behavior-genetică; h² mediu ~0,40.</w:t>
            </w:r>
          </w:p>
        </w:tc>
        <w:tc>
          <w:tcPr>
            <w:tcW w:type="dxa" w:w="2088"/>
            <w:vAlign w:val="top"/>
          </w:tcPr>
          <w:p>
            <w:pPr>
              <w:spacing w:after="20"/>
            </w:pPr>
            <w:r>
              <w:rPr>
                <w:rFonts w:ascii="Noto Serif" w:hAnsi="Noto Serif" w:eastAsia="Noto Serif"/>
                <w:sz w:val="14"/>
              </w:rPr>
              <w:t>Ar fi slăbit de meta-analize mai largi care ar arăta estimări aproape de zero după controlul biasurilor.</w:t>
            </w:r>
          </w:p>
        </w:tc>
      </w:tr>
      <w:tr>
        <w:tc>
          <w:tcPr>
            <w:tcW w:type="dxa" w:w="2520"/>
            <w:vAlign w:val="top"/>
          </w:tcPr>
          <w:p>
            <w:pPr>
              <w:spacing w:after="20"/>
            </w:pPr>
            <w:r>
              <w:rPr>
                <w:rFonts w:ascii="Noto Serif" w:hAnsi="Noto Serif" w:eastAsia="Noto Serif"/>
                <w:sz w:val="14"/>
              </w:rPr>
              <w:t>Comparațiile de medie ale personalității între culturi sunt metodologic fragile.</w:t>
            </w:r>
          </w:p>
        </w:tc>
        <w:tc>
          <w:tcPr>
            <w:tcW w:type="dxa" w:w="1080"/>
            <w:vAlign w:val="top"/>
          </w:tcPr>
          <w:p>
            <w:pPr>
              <w:spacing w:after="20"/>
            </w:pPr>
            <w:r>
              <w:rPr>
                <w:rFonts w:ascii="Noto Serif" w:hAnsi="Noto Serif" w:eastAsia="Noto Serif"/>
                <w:sz w:val="14"/>
              </w:rPr>
              <w:t>Ridicat</w:t>
            </w:r>
          </w:p>
        </w:tc>
        <w:tc>
          <w:tcPr>
            <w:tcW w:type="dxa" w:w="2448"/>
            <w:vAlign w:val="top"/>
          </w:tcPr>
          <w:p>
            <w:pPr>
              <w:spacing w:after="20"/>
            </w:pPr>
            <w:r>
              <w:rPr>
                <w:rFonts w:ascii="Noto Serif" w:hAnsi="Noto Serif" w:eastAsia="Noto Serif"/>
                <w:sz w:val="14"/>
              </w:rPr>
              <w:t>Revizuiri de invarianta măsurării; lipsa invarianta scalară completă.</w:t>
            </w:r>
          </w:p>
        </w:tc>
        <w:tc>
          <w:tcPr>
            <w:tcW w:type="dxa" w:w="2088"/>
            <w:vAlign w:val="top"/>
          </w:tcPr>
          <w:p>
            <w:pPr>
              <w:spacing w:after="20"/>
            </w:pPr>
            <w:r>
              <w:rPr>
                <w:rFonts w:ascii="Noto Serif" w:hAnsi="Noto Serif" w:eastAsia="Noto Serif"/>
                <w:sz w:val="14"/>
              </w:rPr>
              <w:t>Instrumente cu invarianta scalară robustă în multe populații ar permite comparații mai puternice.</w:t>
            </w:r>
          </w:p>
        </w:tc>
      </w:tr>
      <w:tr>
        <w:tc>
          <w:tcPr>
            <w:tcW w:type="dxa" w:w="2520"/>
            <w:vAlign w:val="top"/>
          </w:tcPr>
          <w:p>
            <w:pPr>
              <w:spacing w:after="20"/>
            </w:pPr>
            <w:r>
              <w:rPr>
                <w:rFonts w:ascii="Noto Serif" w:hAnsi="Noto Serif" w:eastAsia="Noto Serif"/>
                <w:sz w:val="14"/>
              </w:rPr>
              <w:t>Structura Big Five nu se reproduce identic în toate societățile.</w:t>
            </w:r>
          </w:p>
        </w:tc>
        <w:tc>
          <w:tcPr>
            <w:tcW w:type="dxa" w:w="1080"/>
            <w:vAlign w:val="top"/>
          </w:tcPr>
          <w:p>
            <w:pPr>
              <w:spacing w:after="20"/>
            </w:pPr>
            <w:r>
              <w:rPr>
                <w:rFonts w:ascii="Noto Serif" w:hAnsi="Noto Serif" w:eastAsia="Noto Serif"/>
                <w:sz w:val="14"/>
              </w:rPr>
              <w:t>Ridicat pentru existența excepțiilor</w:t>
            </w:r>
          </w:p>
        </w:tc>
        <w:tc>
          <w:tcPr>
            <w:tcW w:type="dxa" w:w="2448"/>
            <w:vAlign w:val="top"/>
          </w:tcPr>
          <w:p>
            <w:pPr>
              <w:spacing w:after="20"/>
            </w:pPr>
            <w:r>
              <w:rPr>
                <w:rFonts w:ascii="Noto Serif" w:hAnsi="Noto Serif" w:eastAsia="Noto Serif"/>
                <w:sz w:val="14"/>
              </w:rPr>
              <w:t>Tsimane; eșantion Karnataka; studii non-occidentale.</w:t>
            </w:r>
          </w:p>
        </w:tc>
        <w:tc>
          <w:tcPr>
            <w:tcW w:type="dxa" w:w="2088"/>
            <w:vAlign w:val="top"/>
          </w:tcPr>
          <w:p>
            <w:pPr>
              <w:spacing w:after="20"/>
            </w:pPr>
            <w:r>
              <w:rPr>
                <w:rFonts w:ascii="Noto Serif" w:hAnsi="Noto Serif" w:eastAsia="Noto Serif"/>
                <w:sz w:val="14"/>
              </w:rPr>
              <w:t>Replicări emice și etice care ar recupera consistent aceeași structură ar restrânge concluzia.</w:t>
            </w:r>
          </w:p>
        </w:tc>
      </w:tr>
      <w:tr>
        <w:tc>
          <w:tcPr>
            <w:tcW w:type="dxa" w:w="2520"/>
            <w:vAlign w:val="top"/>
          </w:tcPr>
          <w:p>
            <w:pPr>
              <w:spacing w:after="20"/>
            </w:pPr>
            <w:r>
              <w:rPr>
                <w:rFonts w:ascii="Noto Serif" w:hAnsi="Noto Serif" w:eastAsia="Noto Serif"/>
                <w:sz w:val="14"/>
              </w:rPr>
              <w:t>Diversitatea de nișe sociale este asociată cu o personalitate mai diferențiată statistic.</w:t>
            </w:r>
          </w:p>
        </w:tc>
        <w:tc>
          <w:tcPr>
            <w:tcW w:type="dxa" w:w="1080"/>
            <w:vAlign w:val="top"/>
          </w:tcPr>
          <w:p>
            <w:pPr>
              <w:spacing w:after="20"/>
            </w:pPr>
            <w:r>
              <w:rPr>
                <w:rFonts w:ascii="Noto Serif" w:hAnsi="Noto Serif" w:eastAsia="Noto Serif"/>
                <w:sz w:val="14"/>
              </w:rPr>
              <w:t>Mediu-ridicat</w:t>
            </w:r>
          </w:p>
        </w:tc>
        <w:tc>
          <w:tcPr>
            <w:tcW w:type="dxa" w:w="2448"/>
            <w:vAlign w:val="top"/>
          </w:tcPr>
          <w:p>
            <w:pPr>
              <w:spacing w:after="20"/>
            </w:pPr>
            <w:r>
              <w:rPr>
                <w:rFonts w:ascii="Noto Serif" w:hAnsi="Noto Serif" w:eastAsia="Noto Serif"/>
                <w:sz w:val="14"/>
              </w:rPr>
              <w:t>Model formal + analize cross-naționale până la 115 țări.</w:t>
            </w:r>
          </w:p>
        </w:tc>
        <w:tc>
          <w:tcPr>
            <w:tcW w:type="dxa" w:w="2088"/>
            <w:vAlign w:val="top"/>
          </w:tcPr>
          <w:p>
            <w:pPr>
              <w:spacing w:after="20"/>
            </w:pPr>
            <w:r>
              <w:rPr>
                <w:rFonts w:ascii="Noto Serif" w:hAnsi="Noto Serif" w:eastAsia="Noto Serif"/>
                <w:sz w:val="14"/>
              </w:rPr>
              <w:t>Studii longitudinale/quasi-experimentale care nu găsesc schimbări când nișele se diversifică.</w:t>
            </w:r>
          </w:p>
        </w:tc>
      </w:tr>
      <w:tr>
        <w:tc>
          <w:tcPr>
            <w:tcW w:type="dxa" w:w="2520"/>
            <w:vAlign w:val="top"/>
          </w:tcPr>
          <w:p>
            <w:pPr>
              <w:spacing w:after="20"/>
            </w:pPr>
            <w:r>
              <w:rPr>
                <w:rFonts w:ascii="Noto Serif" w:hAnsi="Noto Serif" w:eastAsia="Noto Serif"/>
                <w:sz w:val="14"/>
              </w:rPr>
              <w:t>Fertilitatea este în general mai mică în urban decât în rural în Europa.</w:t>
            </w:r>
          </w:p>
        </w:tc>
        <w:tc>
          <w:tcPr>
            <w:tcW w:type="dxa" w:w="1080"/>
            <w:vAlign w:val="top"/>
          </w:tcPr>
          <w:p>
            <w:pPr>
              <w:spacing w:after="20"/>
            </w:pPr>
            <w:r>
              <w:rPr>
                <w:rFonts w:ascii="Noto Serif" w:hAnsi="Noto Serif" w:eastAsia="Noto Serif"/>
                <w:sz w:val="14"/>
              </w:rPr>
              <w:t>Ridicat</w:t>
            </w:r>
          </w:p>
        </w:tc>
        <w:tc>
          <w:tcPr>
            <w:tcW w:type="dxa" w:w="2448"/>
            <w:vAlign w:val="top"/>
          </w:tcPr>
          <w:p>
            <w:pPr>
              <w:spacing w:after="20"/>
            </w:pPr>
            <w:r>
              <w:rPr>
                <w:rFonts w:ascii="Noto Serif" w:hAnsi="Noto Serif" w:eastAsia="Noto Serif"/>
                <w:sz w:val="14"/>
              </w:rPr>
              <w:t>Eurostat și studii regionale multinaționale.</w:t>
            </w:r>
          </w:p>
        </w:tc>
        <w:tc>
          <w:tcPr>
            <w:tcW w:type="dxa" w:w="2088"/>
            <w:vAlign w:val="top"/>
          </w:tcPr>
          <w:p>
            <w:pPr>
              <w:spacing w:after="20"/>
            </w:pPr>
            <w:r>
              <w:rPr>
                <w:rFonts w:ascii="Noto Serif" w:hAnsi="Noto Serif" w:eastAsia="Noto Serif"/>
                <w:sz w:val="14"/>
              </w:rPr>
              <w:t>Persistența inversării gradientului în majoritatea țărilor după controlul compoziției.</w:t>
            </w:r>
          </w:p>
        </w:tc>
      </w:tr>
      <w:tr>
        <w:tc>
          <w:tcPr>
            <w:tcW w:type="dxa" w:w="2520"/>
            <w:vAlign w:val="top"/>
          </w:tcPr>
          <w:p>
            <w:pPr>
              <w:spacing w:after="20"/>
            </w:pPr>
            <w:r>
              <w:rPr>
                <w:rFonts w:ascii="Noto Serif" w:hAnsi="Noto Serif" w:eastAsia="Noto Serif"/>
                <w:sz w:val="14"/>
              </w:rPr>
              <w:t>Unele trăsături de personalitate covariază cu numărul de copii.</w:t>
            </w:r>
          </w:p>
        </w:tc>
        <w:tc>
          <w:tcPr>
            <w:tcW w:type="dxa" w:w="1080"/>
            <w:vAlign w:val="top"/>
          </w:tcPr>
          <w:p>
            <w:pPr>
              <w:spacing w:after="20"/>
            </w:pPr>
            <w:r>
              <w:rPr>
                <w:rFonts w:ascii="Noto Serif" w:hAnsi="Noto Serif" w:eastAsia="Noto Serif"/>
                <w:sz w:val="14"/>
              </w:rPr>
              <w:t>Mediu</w:t>
            </w:r>
          </w:p>
        </w:tc>
        <w:tc>
          <w:tcPr>
            <w:tcW w:type="dxa" w:w="2448"/>
            <w:vAlign w:val="top"/>
          </w:tcPr>
          <w:p>
            <w:pPr>
              <w:spacing w:after="20"/>
            </w:pPr>
            <w:r>
              <w:rPr>
                <w:rFonts w:ascii="Noto Serif" w:hAnsi="Noto Serif" w:eastAsia="Noto Serif"/>
                <w:sz w:val="14"/>
              </w:rPr>
              <w:t>Studii multi-țară și cohortă; efecte mici și heterogene.</w:t>
            </w:r>
          </w:p>
        </w:tc>
        <w:tc>
          <w:tcPr>
            <w:tcW w:type="dxa" w:w="2088"/>
            <w:vAlign w:val="top"/>
          </w:tcPr>
          <w:p>
            <w:pPr>
              <w:spacing w:after="20"/>
            </w:pPr>
            <w:r>
              <w:rPr>
                <w:rFonts w:ascii="Noto Serif" w:hAnsi="Noto Serif" w:eastAsia="Noto Serif"/>
                <w:sz w:val="14"/>
              </w:rPr>
              <w:t>Meta-analize preregistrate care găsesc efecte nule stabile pentru toate trăsăturile.</w:t>
            </w:r>
          </w:p>
        </w:tc>
      </w:tr>
      <w:tr>
        <w:tc>
          <w:tcPr>
            <w:tcW w:type="dxa" w:w="2520"/>
            <w:vAlign w:val="top"/>
          </w:tcPr>
          <w:p>
            <w:pPr>
              <w:spacing w:after="20"/>
            </w:pPr>
            <w:r>
              <w:rPr>
                <w:rFonts w:ascii="Noto Serif" w:hAnsi="Noto Serif" w:eastAsia="Noto Serif"/>
                <w:sz w:val="14"/>
              </w:rPr>
              <w:t>Selecția genetică modernă pe trăsături complexe poate fi detectată.</w:t>
            </w:r>
          </w:p>
        </w:tc>
        <w:tc>
          <w:tcPr>
            <w:tcW w:type="dxa" w:w="1080"/>
            <w:vAlign w:val="top"/>
          </w:tcPr>
          <w:p>
            <w:pPr>
              <w:spacing w:after="20"/>
            </w:pPr>
            <w:r>
              <w:rPr>
                <w:rFonts w:ascii="Noto Serif" w:hAnsi="Noto Serif" w:eastAsia="Noto Serif"/>
                <w:sz w:val="14"/>
              </w:rPr>
              <w:t>Mediu-ridicat</w:t>
            </w:r>
          </w:p>
        </w:tc>
        <w:tc>
          <w:tcPr>
            <w:tcW w:type="dxa" w:w="2448"/>
            <w:vAlign w:val="top"/>
          </w:tcPr>
          <w:p>
            <w:pPr>
              <w:spacing w:after="20"/>
            </w:pPr>
            <w:r>
              <w:rPr>
                <w:rFonts w:ascii="Noto Serif" w:hAnsi="Noto Serif" w:eastAsia="Noto Serif"/>
                <w:sz w:val="14"/>
              </w:rPr>
              <w:t>Scoruri poligenice și date reproductive din Islanda/UK; loci de succes reproductiv.</w:t>
            </w:r>
          </w:p>
        </w:tc>
        <w:tc>
          <w:tcPr>
            <w:tcW w:type="dxa" w:w="2088"/>
            <w:vAlign w:val="top"/>
          </w:tcPr>
          <w:p>
            <w:pPr>
              <w:spacing w:after="20"/>
            </w:pPr>
            <w:r>
              <w:rPr>
                <w:rFonts w:ascii="Noto Serif" w:hAnsi="Noto Serif" w:eastAsia="Noto Serif"/>
                <w:sz w:val="14"/>
              </w:rPr>
              <w:t>Dacă asocierile dispar sistematic în familii și eșantioane independente sau sunt explicate complet de stratificare.</w:t>
            </w:r>
          </w:p>
        </w:tc>
      </w:tr>
      <w:tr>
        <w:tc>
          <w:tcPr>
            <w:tcW w:type="dxa" w:w="2520"/>
            <w:vAlign w:val="top"/>
          </w:tcPr>
          <w:p>
            <w:pPr>
              <w:spacing w:after="20"/>
            </w:pPr>
            <w:r>
              <w:rPr>
                <w:rFonts w:ascii="Noto Serif" w:hAnsi="Noto Serif" w:eastAsia="Noto Serif"/>
                <w:sz w:val="14"/>
              </w:rPr>
              <w:t>Societatea selectează genetic un profil psihologic universal.</w:t>
            </w:r>
          </w:p>
        </w:tc>
        <w:tc>
          <w:tcPr>
            <w:tcW w:type="dxa" w:w="1080"/>
            <w:vAlign w:val="top"/>
          </w:tcPr>
          <w:p>
            <w:pPr>
              <w:spacing w:after="20"/>
            </w:pPr>
            <w:r>
              <w:rPr>
                <w:rFonts w:ascii="Noto Serif" w:hAnsi="Noto Serif" w:eastAsia="Noto Serif"/>
                <w:sz w:val="14"/>
              </w:rPr>
              <w:t>Scăzut / nesusținut</w:t>
            </w:r>
          </w:p>
        </w:tc>
        <w:tc>
          <w:tcPr>
            <w:tcW w:type="dxa" w:w="2448"/>
            <w:vAlign w:val="top"/>
          </w:tcPr>
          <w:p>
            <w:pPr>
              <w:spacing w:after="20"/>
            </w:pPr>
            <w:r>
              <w:rPr>
                <w:rFonts w:ascii="Noto Serif" w:hAnsi="Noto Serif" w:eastAsia="Noto Serif"/>
                <w:sz w:val="14"/>
              </w:rPr>
              <w:t>Gradientele diferă între țări; măsurarea cross-culturală este fragilă.</w:t>
            </w:r>
          </w:p>
        </w:tc>
        <w:tc>
          <w:tcPr>
            <w:tcW w:type="dxa" w:w="2088"/>
            <w:vAlign w:val="top"/>
          </w:tcPr>
          <w:p>
            <w:pPr>
              <w:spacing w:after="20"/>
            </w:pPr>
            <w:r>
              <w:rPr>
                <w:rFonts w:ascii="Noto Serif" w:hAnsi="Noto Serif" w:eastAsia="Noto Serif"/>
                <w:sz w:val="14"/>
              </w:rPr>
              <w:t>Ar necesita efecte replicabile cross-cultural, ereditare și stabile pe multe generații.</w:t>
            </w:r>
          </w:p>
        </w:tc>
      </w:tr>
      <w:tr>
        <w:tc>
          <w:tcPr>
            <w:tcW w:type="dxa" w:w="2520"/>
            <w:vAlign w:val="top"/>
          </w:tcPr>
          <w:p>
            <w:pPr>
              <w:spacing w:after="20"/>
            </w:pPr>
            <w:r>
              <w:rPr>
                <w:rFonts w:ascii="Noto Serif" w:hAnsi="Noto Serif" w:eastAsia="Noto Serif"/>
                <w:sz w:val="14"/>
              </w:rPr>
              <w:t>Psihopatia este ~1% sau ~4,5% în populația generală.</w:t>
            </w:r>
          </w:p>
        </w:tc>
        <w:tc>
          <w:tcPr>
            <w:tcW w:type="dxa" w:w="1080"/>
            <w:vAlign w:val="top"/>
          </w:tcPr>
          <w:p>
            <w:pPr>
              <w:spacing w:after="20"/>
            </w:pPr>
            <w:r>
              <w:rPr>
                <w:rFonts w:ascii="Noto Serif" w:hAnsi="Noto Serif" w:eastAsia="Noto Serif"/>
                <w:sz w:val="14"/>
              </w:rPr>
              <w:t>Dependent de definiție</w:t>
            </w:r>
          </w:p>
        </w:tc>
        <w:tc>
          <w:tcPr>
            <w:tcW w:type="dxa" w:w="2448"/>
            <w:vAlign w:val="top"/>
          </w:tcPr>
          <w:p>
            <w:pPr>
              <w:spacing w:after="20"/>
            </w:pPr>
            <w:r>
              <w:rPr>
                <w:rFonts w:ascii="Noto Serif" w:hAnsi="Noto Serif" w:eastAsia="Noto Serif"/>
                <w:sz w:val="14"/>
              </w:rPr>
              <w:t>1,2% cu PCL-R; 4,5% pooled în instrumente diverse.</w:t>
            </w:r>
          </w:p>
        </w:tc>
        <w:tc>
          <w:tcPr>
            <w:tcW w:type="dxa" w:w="2088"/>
            <w:vAlign w:val="top"/>
          </w:tcPr>
          <w:p>
            <w:pPr>
              <w:spacing w:after="20"/>
            </w:pPr>
            <w:r>
              <w:rPr>
                <w:rFonts w:ascii="Noto Serif" w:hAnsi="Noto Serif" w:eastAsia="Noto Serif"/>
                <w:sz w:val="14"/>
              </w:rPr>
              <w:t>Un instrument și prag consensual, aplicat reprezentativ global, ar reduce intervalul.</w:t>
            </w:r>
          </w:p>
        </w:tc>
      </w:tr>
      <w:tr>
        <w:tc>
          <w:tcPr>
            <w:tcW w:type="dxa" w:w="2520"/>
            <w:vAlign w:val="top"/>
          </w:tcPr>
          <w:p>
            <w:pPr>
              <w:spacing w:after="20"/>
            </w:pPr>
            <w:r>
              <w:rPr>
                <w:rFonts w:ascii="Noto Serif" w:hAnsi="Noto Serif" w:eastAsia="Noto Serif"/>
                <w:sz w:val="14"/>
              </w:rPr>
              <w:t>Urbanicitatea este asociată cu incidență mai mare a psihozei.</w:t>
            </w:r>
          </w:p>
        </w:tc>
        <w:tc>
          <w:tcPr>
            <w:tcW w:type="dxa" w:w="1080"/>
            <w:vAlign w:val="top"/>
          </w:tcPr>
          <w:p>
            <w:pPr>
              <w:spacing w:after="20"/>
            </w:pPr>
            <w:r>
              <w:rPr>
                <w:rFonts w:ascii="Noto Serif" w:hAnsi="Noto Serif" w:eastAsia="Noto Serif"/>
                <w:sz w:val="14"/>
              </w:rPr>
              <w:t>Mediu-ridicat</w:t>
            </w:r>
          </w:p>
        </w:tc>
        <w:tc>
          <w:tcPr>
            <w:tcW w:type="dxa" w:w="2448"/>
            <w:vAlign w:val="top"/>
          </w:tcPr>
          <w:p>
            <w:pPr>
              <w:spacing w:after="20"/>
            </w:pPr>
            <w:r>
              <w:rPr>
                <w:rFonts w:ascii="Noto Serif" w:hAnsi="Noto Serif" w:eastAsia="Noto Serif"/>
                <w:sz w:val="14"/>
              </w:rPr>
              <w:t>Meta-analiză IRR ~1,64 urban/rural.</w:t>
            </w:r>
          </w:p>
        </w:tc>
        <w:tc>
          <w:tcPr>
            <w:tcW w:type="dxa" w:w="2088"/>
            <w:vAlign w:val="top"/>
          </w:tcPr>
          <w:p>
            <w:pPr>
              <w:spacing w:after="20"/>
            </w:pPr>
            <w:r>
              <w:rPr>
                <w:rFonts w:ascii="Noto Serif" w:hAnsi="Noto Serif" w:eastAsia="Noto Serif"/>
                <w:sz w:val="14"/>
              </w:rPr>
              <w:t>Natural experiments și modele cauzale care ar elimina asocierea după confounderi.</w:t>
            </w:r>
          </w:p>
        </w:tc>
      </w:tr>
      <w:tr>
        <w:tc>
          <w:tcPr>
            <w:tcW w:type="dxa" w:w="2520"/>
            <w:vAlign w:val="top"/>
          </w:tcPr>
          <w:p>
            <w:pPr>
              <w:spacing w:after="20"/>
            </w:pPr>
            <w:r>
              <w:rPr>
                <w:rFonts w:ascii="Noto Serif" w:hAnsi="Noto Serif" w:eastAsia="Noto Serif"/>
                <w:sz w:val="14"/>
              </w:rPr>
              <w:t>Tulburările psihice severe tind să reducă fertilitatea.</w:t>
            </w:r>
          </w:p>
        </w:tc>
        <w:tc>
          <w:tcPr>
            <w:tcW w:type="dxa" w:w="1080"/>
            <w:vAlign w:val="top"/>
          </w:tcPr>
          <w:p>
            <w:pPr>
              <w:spacing w:after="20"/>
            </w:pPr>
            <w:r>
              <w:rPr>
                <w:rFonts w:ascii="Noto Serif" w:hAnsi="Noto Serif" w:eastAsia="Noto Serif"/>
                <w:sz w:val="14"/>
              </w:rPr>
              <w:t>Ridicat pentru mai multe diagnostice</w:t>
            </w:r>
          </w:p>
        </w:tc>
        <w:tc>
          <w:tcPr>
            <w:tcW w:type="dxa" w:w="2448"/>
            <w:vAlign w:val="top"/>
          </w:tcPr>
          <w:p>
            <w:pPr>
              <w:spacing w:after="20"/>
            </w:pPr>
            <w:r>
              <w:rPr>
                <w:rFonts w:ascii="Noto Serif" w:hAnsi="Noto Serif" w:eastAsia="Noto Serif"/>
                <w:sz w:val="14"/>
              </w:rPr>
              <w:t>Registre nordice; date genetice islandeze.</w:t>
            </w:r>
          </w:p>
        </w:tc>
        <w:tc>
          <w:tcPr>
            <w:tcW w:type="dxa" w:w="2088"/>
            <w:vAlign w:val="top"/>
          </w:tcPr>
          <w:p>
            <w:pPr>
              <w:spacing w:after="20"/>
            </w:pPr>
            <w:r>
              <w:rPr>
                <w:rFonts w:ascii="Noto Serif" w:hAnsi="Noto Serif" w:eastAsia="Noto Serif"/>
                <w:sz w:val="14"/>
              </w:rPr>
              <w:t>Cohorte reprezentative în contexte diferite cu fertilitate egală sau mai mare după ajustări.</w:t>
            </w:r>
          </w:p>
        </w:tc>
      </w:tr>
      <w:tr>
        <w:tc>
          <w:tcPr>
            <w:tcW w:type="dxa" w:w="2520"/>
            <w:vAlign w:val="top"/>
          </w:tcPr>
          <w:p>
            <w:pPr>
              <w:spacing w:after="20"/>
            </w:pPr>
            <w:r>
              <w:rPr>
                <w:rFonts w:ascii="Noto Serif" w:hAnsi="Noto Serif" w:eastAsia="Noto Serif"/>
                <w:sz w:val="14"/>
              </w:rPr>
              <w:t>O metropolă de proximitate poate reduce filtrarea reproductivă arbitrară.</w:t>
            </w:r>
          </w:p>
        </w:tc>
        <w:tc>
          <w:tcPr>
            <w:tcW w:type="dxa" w:w="1080"/>
            <w:vAlign w:val="top"/>
          </w:tcPr>
          <w:p>
            <w:pPr>
              <w:spacing w:after="20"/>
            </w:pPr>
            <w:r>
              <w:rPr>
                <w:rFonts w:ascii="Noto Serif" w:hAnsi="Noto Serif" w:eastAsia="Noto Serif"/>
                <w:sz w:val="14"/>
              </w:rPr>
              <w:t>Speculativ, testabil</w:t>
            </w:r>
          </w:p>
        </w:tc>
        <w:tc>
          <w:tcPr>
            <w:tcW w:type="dxa" w:w="2448"/>
            <w:vAlign w:val="top"/>
          </w:tcPr>
          <w:p>
            <w:pPr>
              <w:spacing w:after="20"/>
            </w:pPr>
            <w:r>
              <w:rPr>
                <w:rFonts w:ascii="Noto Serif" w:hAnsi="Noto Serif" w:eastAsia="Noto Serif"/>
                <w:sz w:val="14"/>
              </w:rPr>
              <w:t>Derivat din mecanisme de cost, timp, locuire și sprijin.</w:t>
            </w:r>
          </w:p>
        </w:tc>
        <w:tc>
          <w:tcPr>
            <w:tcW w:type="dxa" w:w="2088"/>
            <w:vAlign w:val="top"/>
          </w:tcPr>
          <w:p>
            <w:pPr>
              <w:spacing w:after="20"/>
            </w:pPr>
            <w:r>
              <w:rPr>
                <w:rFonts w:ascii="Noto Serif" w:hAnsi="Noto Serif" w:eastAsia="Noto Serif"/>
                <w:sz w:val="14"/>
              </w:rPr>
              <w:t>Intervenții urbanistice/familiale care nu modifică deloc fertilitatea realizată sau bunăstarea părinților.</w:t>
            </w:r>
          </w:p>
        </w:tc>
      </w:tr>
    </w:tbl>
    <w:p>
      <w:pPr>
        <w:widowControl/>
      </w:pPr>
      <w:r>
        <w:br w:type="page"/>
      </w:r>
    </w:p>
    <w:p>
      <w:pPr>
        <w:widowControl/>
      </w:pPr>
      <w:r>
        <w:rPr>
          <w:rFonts w:ascii="Noto Serif" w:hAnsi="Noto Serif" w:eastAsia="Noto Serif"/>
          <w:b/>
          <w:color w:val="1F2C32"/>
          <w:sz w:val="44"/>
        </w:rPr>
        <w:t>GLOSAR MINIMAL</w:t>
      </w:r>
    </w:p>
    <w:p>
      <w:pPr>
        <w:widowControl/>
        <w:spacing w:after="80"/>
      </w:pPr>
      <w:r>
        <w:rPr>
          <w:rFonts w:ascii="Noto Sans" w:hAnsi="Noto Sans" w:eastAsia="Noto Sans"/>
          <w:b/>
          <w:sz w:val="18"/>
        </w:rPr>
        <w:t xml:space="preserve">Assortative mating: </w:t>
      </w:r>
      <w:r>
        <w:rPr>
          <w:rFonts w:ascii="Noto Serif" w:hAnsi="Noto Serif" w:eastAsia="Noto Serif"/>
          <w:sz w:val="18"/>
        </w:rPr>
        <w:t>Împerechere nealeatoare: partenerii se aseamănă mai mult decât ar fi de așteptat prin hazard după educație, valori, trăsături sau origine.</w:t>
      </w:r>
    </w:p>
    <w:p>
      <w:pPr>
        <w:widowControl/>
        <w:spacing w:after="80"/>
      </w:pPr>
      <w:r>
        <w:rPr>
          <w:rFonts w:ascii="Noto Sans" w:hAnsi="Noto Sans" w:eastAsia="Noto Sans"/>
          <w:b/>
          <w:sz w:val="18"/>
        </w:rPr>
        <w:t xml:space="preserve">Fitness reproductiv: </w:t>
      </w:r>
      <w:r>
        <w:rPr>
          <w:rFonts w:ascii="Noto Serif" w:hAnsi="Noto Serif" w:eastAsia="Noto Serif"/>
          <w:sz w:val="18"/>
        </w:rPr>
        <w:t>Contribuția la generațiile viitoare, aproximată adesea prin numărul de copii sau descendenți care se reproduc. Nu este sinonim cu sănătate, valoare morală sau succes social.</w:t>
      </w:r>
    </w:p>
    <w:p>
      <w:pPr>
        <w:widowControl/>
        <w:spacing w:after="80"/>
      </w:pPr>
      <w:r>
        <w:rPr>
          <w:rFonts w:ascii="Noto Sans" w:hAnsi="Noto Sans" w:eastAsia="Noto Sans"/>
          <w:b/>
          <w:sz w:val="18"/>
        </w:rPr>
        <w:t xml:space="preserve">Heritabilitate: </w:t>
      </w:r>
      <w:r>
        <w:rPr>
          <w:rFonts w:ascii="Noto Serif" w:hAnsi="Noto Serif" w:eastAsia="Noto Serif"/>
          <w:sz w:val="18"/>
        </w:rPr>
        <w:t>Proporția variației unei trăsături într-o populație și un mediu atribuită statistic diferențelor genetice. Nu este o măsură a determinismului individual.</w:t>
      </w:r>
    </w:p>
    <w:p>
      <w:pPr>
        <w:widowControl/>
        <w:spacing w:after="80"/>
      </w:pPr>
      <w:r>
        <w:rPr>
          <w:rFonts w:ascii="Noto Sans" w:hAnsi="Noto Sans" w:eastAsia="Noto Sans"/>
          <w:b/>
          <w:sz w:val="18"/>
        </w:rPr>
        <w:t xml:space="preserve">Invarianța măsurării: </w:t>
      </w:r>
      <w:r>
        <w:rPr>
          <w:rFonts w:ascii="Noto Serif" w:hAnsi="Noto Serif" w:eastAsia="Noto Serif"/>
          <w:sz w:val="18"/>
        </w:rPr>
        <w:t>Condiția ca un instrument psihologic să măsoare același construct în mod comparabil între grupuri. Invarianța scalară este importantă pentru comparații de medii.</w:t>
      </w:r>
    </w:p>
    <w:p>
      <w:pPr>
        <w:widowControl/>
        <w:spacing w:after="80"/>
      </w:pPr>
      <w:r>
        <w:rPr>
          <w:rFonts w:ascii="Noto Sans" w:hAnsi="Noto Sans" w:eastAsia="Noto Sans"/>
          <w:b/>
          <w:sz w:val="18"/>
        </w:rPr>
        <w:t xml:space="preserve">Nișă socioecologică: </w:t>
      </w:r>
      <w:r>
        <w:rPr>
          <w:rFonts w:ascii="Noto Serif" w:hAnsi="Noto Serif" w:eastAsia="Noto Serif"/>
          <w:sz w:val="18"/>
        </w:rPr>
        <w:t>Rol sau combinație de cerințe sociale, economice și ecologice în care un anumit profil comportamental poate funcționa.</w:t>
      </w:r>
    </w:p>
    <w:p>
      <w:pPr>
        <w:widowControl/>
        <w:spacing w:after="80"/>
      </w:pPr>
      <w:r>
        <w:rPr>
          <w:rFonts w:ascii="Noto Sans" w:hAnsi="Noto Sans" w:eastAsia="Noto Sans"/>
          <w:b/>
          <w:sz w:val="18"/>
        </w:rPr>
        <w:t xml:space="preserve">Scor poligenic: </w:t>
      </w:r>
      <w:r>
        <w:rPr>
          <w:rFonts w:ascii="Noto Serif" w:hAnsi="Noto Serif" w:eastAsia="Noto Serif"/>
          <w:sz w:val="18"/>
        </w:rPr>
        <w:t>Agregare statistică a multor variante genetice asociate cu un rezultat într-un GWAS. Are putere predictivă limitată și depinde de populația de referință.</w:t>
      </w:r>
    </w:p>
    <w:p>
      <w:pPr>
        <w:widowControl/>
        <w:spacing w:after="80"/>
      </w:pPr>
      <w:r>
        <w:rPr>
          <w:rFonts w:ascii="Noto Sans" w:hAnsi="Noto Sans" w:eastAsia="Noto Sans"/>
          <w:b/>
          <w:sz w:val="18"/>
        </w:rPr>
        <w:t xml:space="preserve">Selecție culturală: </w:t>
      </w:r>
      <w:r>
        <w:rPr>
          <w:rFonts w:ascii="Noto Serif" w:hAnsi="Noto Serif" w:eastAsia="Noto Serif"/>
          <w:sz w:val="18"/>
        </w:rPr>
        <w:t>Propagarea diferențială a ideilor, normelor și practicilor prin imitație, prestigiu, instituții, sancțiuni și transmitere între generații.</w:t>
      </w:r>
    </w:p>
    <w:p>
      <w:pPr>
        <w:widowControl/>
        <w:spacing w:after="80"/>
      </w:pPr>
      <w:r>
        <w:rPr>
          <w:rFonts w:ascii="Noto Sans" w:hAnsi="Noto Sans" w:eastAsia="Noto Sans"/>
          <w:b/>
          <w:sz w:val="18"/>
        </w:rPr>
        <w:t xml:space="preserve">Selecție genetică: </w:t>
      </w:r>
      <w:r>
        <w:rPr>
          <w:rFonts w:ascii="Noto Serif" w:hAnsi="Noto Serif" w:eastAsia="Noto Serif"/>
          <w:sz w:val="18"/>
        </w:rPr>
        <w:t>Schimbarea frecvențelor genetice produsă de asocierea dintre variație ereditară și succes reproductiv.</w:t>
      </w:r>
    </w:p>
    <w:p>
      <w:pPr>
        <w:widowControl/>
        <w:spacing w:after="80"/>
      </w:pPr>
      <w:r>
        <w:rPr>
          <w:rFonts w:ascii="Noto Sans" w:hAnsi="Noto Sans" w:eastAsia="Noto Sans"/>
          <w:b/>
          <w:sz w:val="18"/>
        </w:rPr>
        <w:t xml:space="preserve">Tightness-looseness: </w:t>
      </w:r>
      <w:r>
        <w:rPr>
          <w:rFonts w:ascii="Noto Serif" w:hAnsi="Noto Serif" w:eastAsia="Noto Serif"/>
          <w:sz w:val="18"/>
        </w:rPr>
        <w:t>Gradul în care o cultură are norme puternice și toleranță redusă versus ridicată față de devianță.</w:t>
      </w:r>
    </w:p>
    <w:p>
      <w:pPr>
        <w:widowControl/>
      </w:pPr>
      <w:r>
        <w:br w:type="page"/>
      </w:r>
    </w:p>
    <w:p>
      <w:pPr>
        <w:widowControl/>
      </w:pPr>
      <w:r>
        <w:rPr>
          <w:rFonts w:ascii="Noto Serif" w:hAnsi="Noto Serif" w:eastAsia="Noto Serif"/>
          <w:b/>
          <w:color w:val="1F2C32"/>
          <w:sz w:val="46"/>
        </w:rPr>
        <w:t>BIBLIOGRAFIE SELECTATĂ</w:t>
      </w:r>
    </w:p>
    <w:p>
      <w:pPr>
        <w:widowControl/>
        <w:spacing w:after="124" w:line="264" w:lineRule="auto"/>
      </w:pPr>
      <w:r>
        <w:rPr>
          <w:rFonts w:ascii="Noto Serif" w:hAnsi="Noto Serif" w:eastAsia="Noto Serif"/>
          <w:sz w:val="20"/>
        </w:rPr>
        <w:t>Sursele sunt selectate pentru afirmațiile centrale ale cărții. Pentru subiectele controversate au fost preferate meta-analize, registre populaționale, publicații cu eșantioane mari și articole care critică explicit rezultatele populare.</w:t>
      </w:r>
    </w:p>
    <w:p>
      <w:pPr>
        <w:widowControl/>
        <w:spacing w:after="100"/>
        <w:ind w:left="216" w:hanging="216"/>
      </w:pPr>
      <w:r>
        <w:rPr>
          <w:rFonts w:ascii="Noto Serif" w:hAnsi="Noto Serif" w:eastAsia="Noto Serif"/>
          <w:sz w:val="17"/>
        </w:rPr>
        <w:t>Castillejos, M. C. et al. (2018). A systematic review and meta-analysis of the incidence of psychotic disorders: the distribution of rates and the influence of gender, urbanicity, immigration and socio-economic level. Psychological Medicine.</w:t>
      </w:r>
      <w:r>
        <w:t xml:space="preserve"> </w:t>
      </w:r>
      <w:hyperlink r:id="rId11">
        <w:r>
          <w:rPr>
            <w:color w:val="365D7D"/>
            <w:u w:val="single"/>
            <w:rFonts w:ascii="Noto Serif" w:hAnsi="Noto Serif"/>
          </w:rPr>
          <w:t>https://pubmed.ncbi.nlm.nih.gov/29467052/</w:t>
        </w:r>
      </w:hyperlink>
    </w:p>
    <w:p>
      <w:pPr>
        <w:widowControl/>
        <w:spacing w:after="100"/>
        <w:ind w:left="216" w:hanging="216"/>
      </w:pPr>
      <w:r>
        <w:rPr>
          <w:rFonts w:ascii="Noto Serif" w:hAnsi="Noto Serif" w:eastAsia="Noto Serif"/>
          <w:sz w:val="17"/>
        </w:rPr>
        <w:t>Cheung, F. M. et al. (2003). Indigenous measures of personality assessment in Asian countries: a review. Psychological Assessment, 15(3), 280-289. DOI: 10.1037/1040-3590.15.3.280.</w:t>
      </w:r>
      <w:r>
        <w:t xml:space="preserve"> </w:t>
      </w:r>
      <w:hyperlink r:id="rId12">
        <w:r>
          <w:rPr>
            <w:color w:val="365D7D"/>
            <w:u w:val="single"/>
            <w:rFonts w:ascii="Noto Serif" w:hAnsi="Noto Serif"/>
          </w:rPr>
          <w:t>https://pubmed.ncbi.nlm.nih.gov/14593828/</w:t>
        </w:r>
      </w:hyperlink>
    </w:p>
    <w:p>
      <w:pPr>
        <w:widowControl/>
        <w:spacing w:after="100"/>
        <w:ind w:left="216" w:hanging="216"/>
      </w:pPr>
      <w:r>
        <w:rPr>
          <w:rFonts w:ascii="Noto Serif" w:hAnsi="Noto Serif" w:eastAsia="Noto Serif"/>
          <w:sz w:val="17"/>
        </w:rPr>
        <w:t>Eurostat. (2024). Demography of Europe - 2024 edition. Urban-rural fertility statistics.</w:t>
      </w:r>
      <w:r>
        <w:t xml:space="preserve"> </w:t>
      </w:r>
      <w:hyperlink r:id="rId13">
        <w:r>
          <w:rPr>
            <w:color w:val="365D7D"/>
            <w:u w:val="single"/>
            <w:rFonts w:ascii="Noto Serif" w:hAnsi="Noto Serif"/>
          </w:rPr>
          <w:t>https://ec.europa.eu/eurostat/web/interactive-publications/demography-2024</w:t>
        </w:r>
      </w:hyperlink>
    </w:p>
    <w:p>
      <w:pPr>
        <w:widowControl/>
        <w:spacing w:after="100"/>
        <w:ind w:left="216" w:hanging="216"/>
      </w:pPr>
      <w:r>
        <w:rPr>
          <w:rFonts w:ascii="Noto Serif" w:hAnsi="Noto Serif" w:eastAsia="Noto Serif"/>
          <w:sz w:val="17"/>
        </w:rPr>
        <w:t>Freeman, D. (2007). Suspicious minds: the psychology of persecutory delusions. Clinical Psychology Review, 27(4), 425-457. DOI: 10.1016/j.cpr.2006.10.004.</w:t>
      </w:r>
      <w:r>
        <w:t xml:space="preserve"> </w:t>
      </w:r>
      <w:hyperlink r:id="rId14">
        <w:r>
          <w:rPr>
            <w:color w:val="365D7D"/>
            <w:u w:val="single"/>
            <w:rFonts w:ascii="Noto Serif" w:hAnsi="Noto Serif"/>
          </w:rPr>
          <w:t>https://pubmed.ncbi.nlm.nih.gov/17258852/</w:t>
        </w:r>
      </w:hyperlink>
    </w:p>
    <w:p>
      <w:pPr>
        <w:widowControl/>
        <w:spacing w:after="100"/>
        <w:ind w:left="216" w:hanging="216"/>
      </w:pPr>
      <w:r>
        <w:rPr>
          <w:rFonts w:ascii="Noto Serif" w:hAnsi="Noto Serif" w:eastAsia="Noto Serif"/>
          <w:sz w:val="17"/>
        </w:rPr>
        <w:t>GBD 2021 Fertility and Forecasting Collaborators. (2024). Global fertility in 204 countries and territories, 1950-2021, with forecasts to 2100. The Lancet, 403, 2057-2099. DOI: 10.1016/S0140-6736(24)00550-6.</w:t>
      </w:r>
      <w:r>
        <w:t xml:space="preserve"> </w:t>
      </w:r>
      <w:hyperlink r:id="rId15">
        <w:r>
          <w:rPr>
            <w:color w:val="365D7D"/>
            <w:u w:val="single"/>
            <w:rFonts w:ascii="Noto Serif" w:hAnsi="Noto Serif"/>
          </w:rPr>
          <w:t>https://pubmed.ncbi.nlm.nih.gov/38521087/</w:t>
        </w:r>
      </w:hyperlink>
    </w:p>
    <w:p>
      <w:pPr>
        <w:widowControl/>
        <w:spacing w:after="100"/>
        <w:ind w:left="216" w:hanging="216"/>
      </w:pPr>
      <w:r>
        <w:rPr>
          <w:rFonts w:ascii="Noto Serif" w:hAnsi="Noto Serif" w:eastAsia="Noto Serif"/>
          <w:sz w:val="17"/>
        </w:rPr>
        <w:t>Gelfand, M. J. et al. (2011). Differences between tight and loose cultures: a 33-nation study. Science, 332, 1100-1104.</w:t>
      </w:r>
      <w:r>
        <w:t xml:space="preserve"> </w:t>
      </w:r>
      <w:hyperlink r:id="rId16">
        <w:r>
          <w:rPr>
            <w:color w:val="365D7D"/>
            <w:u w:val="single"/>
            <w:rFonts w:ascii="Noto Serif" w:hAnsi="Noto Serif"/>
          </w:rPr>
          <w:t>https://pubmed.ncbi.nlm.nih.gov/21617077/</w:t>
        </w:r>
      </w:hyperlink>
    </w:p>
    <w:p>
      <w:pPr>
        <w:widowControl/>
        <w:spacing w:after="100"/>
        <w:ind w:left="216" w:hanging="216"/>
      </w:pPr>
      <w:r>
        <w:rPr>
          <w:rFonts w:ascii="Noto Serif" w:hAnsi="Noto Serif" w:eastAsia="Noto Serif"/>
          <w:sz w:val="17"/>
        </w:rPr>
        <w:t>Gurven, M., von Rueden, C., Massenkoff, M., Kaplan, H., &amp; Lero Vie, M. (2013). How universal is the Big Five? Testing the five-factor model among forager-farmers in the Bolivian Amazon. Journal of Personality and Social Psychology, 104(2), 354-370. DOI: 10.1037/a0030841.</w:t>
      </w:r>
      <w:r>
        <w:t xml:space="preserve"> </w:t>
      </w:r>
      <w:hyperlink r:id="rId17">
        <w:r>
          <w:rPr>
            <w:color w:val="365D7D"/>
            <w:u w:val="single"/>
            <w:rFonts w:ascii="Noto Serif" w:hAnsi="Noto Serif"/>
          </w:rPr>
          <w:t>https://pmc.ncbi.nlm.nih.gov/articles/PMC4104167/</w:t>
        </w:r>
      </w:hyperlink>
    </w:p>
    <w:p>
      <w:pPr>
        <w:widowControl/>
        <w:spacing w:after="100"/>
        <w:ind w:left="216" w:hanging="216"/>
      </w:pPr>
      <w:r>
        <w:rPr>
          <w:rFonts w:ascii="Noto Serif" w:hAnsi="Noto Serif" w:eastAsia="Noto Serif"/>
          <w:sz w:val="17"/>
        </w:rPr>
        <w:t>Henrich, J., Heine, S. J., &amp; Norenzayan, A. (2010). The weirdest people in the world? Behavioral and Brain Sciences, 33, 61-83. DOI: 10.1017/S0140525X0999152X.</w:t>
      </w:r>
      <w:r>
        <w:t xml:space="preserve"> </w:t>
      </w:r>
      <w:hyperlink r:id="rId18">
        <w:r>
          <w:rPr>
            <w:color w:val="365D7D"/>
            <w:u w:val="single"/>
            <w:rFonts w:ascii="Noto Serif" w:hAnsi="Noto Serif"/>
          </w:rPr>
          <w:t>https://pubmed.ncbi.nlm.nih.gov/20550733/</w:t>
        </w:r>
      </w:hyperlink>
    </w:p>
    <w:p>
      <w:pPr>
        <w:widowControl/>
        <w:spacing w:after="100"/>
        <w:ind w:left="216" w:hanging="216"/>
      </w:pPr>
      <w:r>
        <w:rPr>
          <w:rFonts w:ascii="Noto Serif" w:hAnsi="Noto Serif" w:eastAsia="Noto Serif"/>
          <w:sz w:val="17"/>
        </w:rPr>
        <w:t>Ji, X., Liu, Z., &amp; Zhu, T. (2026). Clan ties, collective minds: the persistent impact of Chinese kinship structures on modern collectivism. Humanities and Social Sciences Communications, 13, 724.</w:t>
      </w:r>
      <w:r>
        <w:t xml:space="preserve"> </w:t>
      </w:r>
      <w:hyperlink r:id="rId19">
        <w:r>
          <w:rPr>
            <w:color w:val="365D7D"/>
            <w:u w:val="single"/>
            <w:rFonts w:ascii="Noto Serif" w:hAnsi="Noto Serif"/>
          </w:rPr>
          <w:t>https://www.nature.com/articles/s41599-026-07079-1</w:t>
        </w:r>
      </w:hyperlink>
    </w:p>
    <w:p>
      <w:pPr>
        <w:widowControl/>
        <w:spacing w:after="100"/>
        <w:ind w:left="216" w:hanging="216"/>
      </w:pPr>
      <w:r>
        <w:rPr>
          <w:rFonts w:ascii="Noto Serif" w:hAnsi="Noto Serif" w:eastAsia="Noto Serif"/>
          <w:sz w:val="17"/>
        </w:rPr>
        <w:t>Kong, A. et al. (2017). Selection against variants in the genome associated with educational attainment. PNAS, 114(5), E727-E732. DOI: 10.1073/pnas.1612113114.</w:t>
      </w:r>
      <w:r>
        <w:t xml:space="preserve"> </w:t>
      </w:r>
      <w:hyperlink r:id="rId20">
        <w:r>
          <w:rPr>
            <w:color w:val="365D7D"/>
            <w:u w:val="single"/>
            <w:rFonts w:ascii="Noto Serif" w:hAnsi="Noto Serif"/>
          </w:rPr>
          <w:t>https://pubmed.ncbi.nlm.nih.gov/28096410/</w:t>
        </w:r>
      </w:hyperlink>
    </w:p>
    <w:p>
      <w:pPr>
        <w:widowControl/>
        <w:spacing w:after="100"/>
        <w:ind w:left="216" w:hanging="216"/>
      </w:pPr>
      <w:r>
        <w:rPr>
          <w:rFonts w:ascii="Noto Serif" w:hAnsi="Noto Serif" w:eastAsia="Noto Serif"/>
          <w:sz w:val="17"/>
        </w:rPr>
        <w:t>Kravdal, Ø., Flatø, M., &amp; Torvik, F. A. (2025). Fertility among Norwegian Women and Men with Mental Disorders. European Journal of Population, 41, 17. DOI: 10.1007/s10680-025-09739-5.</w:t>
      </w:r>
      <w:r>
        <w:t xml:space="preserve"> </w:t>
      </w:r>
      <w:hyperlink r:id="rId21">
        <w:r>
          <w:rPr>
            <w:color w:val="365D7D"/>
            <w:u w:val="single"/>
            <w:rFonts w:ascii="Noto Serif" w:hAnsi="Noto Serif"/>
          </w:rPr>
          <w:t>https://link.springer.com/article/10.1007/s10680-025-09739-5</w:t>
        </w:r>
      </w:hyperlink>
    </w:p>
    <w:p>
      <w:pPr>
        <w:widowControl/>
        <w:spacing w:after="100"/>
        <w:ind w:left="216" w:hanging="216"/>
      </w:pPr>
      <w:r>
        <w:rPr>
          <w:rFonts w:ascii="Noto Serif" w:hAnsi="Noto Serif" w:eastAsia="Noto Serif"/>
          <w:sz w:val="17"/>
        </w:rPr>
        <w:t>Lukaszewski, A. W. et al. (2022). Niche Diversity Predicts Personality Structure Across 115 Nations. Psychological Science.</w:t>
      </w:r>
      <w:r>
        <w:t xml:space="preserve"> </w:t>
      </w:r>
      <w:hyperlink r:id="rId22">
        <w:r>
          <w:rPr>
            <w:color w:val="365D7D"/>
            <w:u w:val="single"/>
            <w:rFonts w:ascii="Noto Serif" w:hAnsi="Noto Serif"/>
          </w:rPr>
          <w:t>https://pubmed.ncbi.nlm.nih.gov/35044268/</w:t>
        </w:r>
      </w:hyperlink>
    </w:p>
    <w:p>
      <w:pPr>
        <w:widowControl/>
        <w:spacing w:after="100"/>
        <w:ind w:left="216" w:hanging="216"/>
      </w:pPr>
      <w:r>
        <w:rPr>
          <w:rFonts w:ascii="Noto Serif" w:hAnsi="Noto Serif" w:eastAsia="Noto Serif"/>
          <w:sz w:val="17"/>
        </w:rPr>
        <w:t>Mullins, N. et al. (2017). Reproductive fitness and genetic risk of psychiatric disorders in the general population. Nature Communications, 8.</w:t>
      </w:r>
      <w:r>
        <w:t xml:space="preserve"> </w:t>
      </w:r>
      <w:hyperlink r:id="rId23">
        <w:r>
          <w:rPr>
            <w:color w:val="365D7D"/>
            <w:u w:val="single"/>
            <w:rFonts w:ascii="Noto Serif" w:hAnsi="Noto Serif"/>
          </w:rPr>
          <w:t>https://pmc.ncbi.nlm.nih.gov/articles/PMC5474730/</w:t>
        </w:r>
      </w:hyperlink>
    </w:p>
    <w:p>
      <w:pPr>
        <w:widowControl/>
        <w:spacing w:after="100"/>
        <w:ind w:left="216" w:hanging="216"/>
      </w:pPr>
      <w:r>
        <w:rPr>
          <w:rFonts w:ascii="Noto Serif" w:hAnsi="Noto Serif" w:eastAsia="Noto Serif"/>
          <w:sz w:val="17"/>
        </w:rPr>
        <w:t>Riederer, B., &amp; Beaujouan, É. (2024). Explaining the urban-rural gradient in later fertility in Europe. Population, Space and Place, 30(1), e2720. DOI: 10.1002/psp.2720.</w:t>
      </w:r>
      <w:r>
        <w:t xml:space="preserve"> </w:t>
      </w:r>
      <w:hyperlink r:id="rId24">
        <w:r>
          <w:rPr>
            <w:color w:val="365D7D"/>
            <w:u w:val="single"/>
            <w:rFonts w:ascii="Noto Serif" w:hAnsi="Noto Serif"/>
          </w:rPr>
          <w:t>https://onlinelibrary.wiley.com/doi/10.1002/psp.2720</w:t>
        </w:r>
      </w:hyperlink>
    </w:p>
    <w:p>
      <w:pPr>
        <w:widowControl/>
        <w:spacing w:after="100"/>
        <w:ind w:left="216" w:hanging="216"/>
      </w:pPr>
      <w:r>
        <w:rPr>
          <w:rFonts w:ascii="Noto Serif" w:hAnsi="Noto Serif" w:eastAsia="Noto Serif"/>
          <w:sz w:val="17"/>
        </w:rPr>
        <w:t>Ruan, J., Xie, Z., &amp; Zhang, X. (2015). Does rice farming shape individualism and innovation? Food Policy, 56, 51-58. DOI: 10.1016/j.foodpol.2015.07.010.</w:t>
      </w:r>
      <w:r>
        <w:t xml:space="preserve"> </w:t>
      </w:r>
      <w:hyperlink r:id="rId25">
        <w:r>
          <w:rPr>
            <w:color w:val="365D7D"/>
            <w:u w:val="single"/>
            <w:rFonts w:ascii="Noto Serif" w:hAnsi="Noto Serif"/>
          </w:rPr>
          <w:t>https://www.sciencedirect.com/science/article/pii/S0306919215000986</w:t>
        </w:r>
      </w:hyperlink>
    </w:p>
    <w:p>
      <w:pPr>
        <w:widowControl/>
        <w:spacing w:after="100"/>
        <w:ind w:left="216" w:hanging="216"/>
      </w:pPr>
      <w:r>
        <w:rPr>
          <w:rFonts w:ascii="Noto Serif" w:hAnsi="Noto Serif" w:eastAsia="Noto Serif"/>
          <w:sz w:val="17"/>
        </w:rPr>
        <w:t>Sanz-García, A. et al. (2021). Prevalence of Psychopathy in the General Adult Population: A Systematic Review and Meta-Analysis. Frontiers in Psychology, 12.</w:t>
      </w:r>
      <w:r>
        <w:t xml:space="preserve"> </w:t>
      </w:r>
      <w:hyperlink r:id="rId26">
        <w:r>
          <w:rPr>
            <w:color w:val="365D7D"/>
            <w:u w:val="single"/>
            <w:rFonts w:ascii="Noto Serif" w:hAnsi="Noto Serif"/>
          </w:rPr>
          <w:t>https://pmc.ncbi.nlm.nih.gov/articles/PMC8374040/</w:t>
        </w:r>
      </w:hyperlink>
    </w:p>
    <w:p>
      <w:pPr>
        <w:widowControl/>
        <w:spacing w:after="100"/>
        <w:ind w:left="216" w:hanging="216"/>
      </w:pPr>
      <w:r>
        <w:rPr>
          <w:rFonts w:ascii="Noto Serif" w:hAnsi="Noto Serif" w:eastAsia="Noto Serif"/>
          <w:sz w:val="17"/>
        </w:rPr>
        <w:t>Sanz-García, A. et al. (2025). Consistency and Variation in Natural Selection on Personality Across 17 Countries. Personality and Social Psychology Bulletin / indexed PubMed.</w:t>
      </w:r>
      <w:r>
        <w:t xml:space="preserve"> </w:t>
      </w:r>
      <w:hyperlink r:id="rId27">
        <w:r>
          <w:rPr>
            <w:color w:val="365D7D"/>
            <w:u w:val="single"/>
            <w:rFonts w:ascii="Noto Serif" w:hAnsi="Noto Serif"/>
          </w:rPr>
          <w:t>https://pubmed.ncbi.nlm.nih.gov/40094705/</w:t>
        </w:r>
      </w:hyperlink>
    </w:p>
    <w:p>
      <w:pPr>
        <w:widowControl/>
        <w:spacing w:after="100"/>
        <w:ind w:left="216" w:hanging="216"/>
      </w:pPr>
      <w:r>
        <w:rPr>
          <w:rFonts w:ascii="Noto Serif" w:hAnsi="Noto Serif" w:eastAsia="Noto Serif"/>
          <w:sz w:val="17"/>
        </w:rPr>
        <w:t>Sheppard, D. et al. (2026). Understanding and assessing personality across cultures: A scoping review. PLOS ONE. DOI: 10.1371/journal.pone.0338521.</w:t>
      </w:r>
      <w:r>
        <w:t xml:space="preserve"> </w:t>
      </w:r>
      <w:hyperlink r:id="rId28">
        <w:r>
          <w:rPr>
            <w:color w:val="365D7D"/>
            <w:u w:val="single"/>
            <w:rFonts w:ascii="Noto Serif" w:hAnsi="Noto Serif"/>
          </w:rPr>
          <w:t>https://pubmed.ncbi.nlm.nih.gov/41481748/</w:t>
        </w:r>
      </w:hyperlink>
    </w:p>
    <w:p>
      <w:pPr>
        <w:widowControl/>
        <w:spacing w:after="100"/>
        <w:ind w:left="216" w:hanging="216"/>
      </w:pPr>
      <w:r>
        <w:rPr>
          <w:rFonts w:ascii="Noto Serif" w:hAnsi="Noto Serif" w:eastAsia="Noto Serif"/>
          <w:sz w:val="17"/>
        </w:rPr>
        <w:t>Smaldino, P. E., Lukaszewski, A., von Rueden, C., &amp; Gurven, M. (2019). Niche diversity can explain cross-cultural differences in personality structure. Nature Human Behaviour, 3, 1276-1283. DOI: 10.1038/s41562-019-0730-3.</w:t>
      </w:r>
      <w:r>
        <w:t xml:space="preserve"> </w:t>
      </w:r>
      <w:hyperlink r:id="rId29">
        <w:r>
          <w:rPr>
            <w:color w:val="365D7D"/>
            <w:u w:val="single"/>
            <w:rFonts w:ascii="Noto Serif" w:hAnsi="Noto Serif"/>
          </w:rPr>
          <w:t>https://www.nature.com/articles/s41562-019-0730-3</w:t>
        </w:r>
      </w:hyperlink>
    </w:p>
    <w:p>
      <w:pPr>
        <w:widowControl/>
        <w:spacing w:after="100"/>
        <w:ind w:left="216" w:hanging="216"/>
      </w:pPr>
      <w:r>
        <w:rPr>
          <w:rFonts w:ascii="Noto Serif" w:hAnsi="Noto Serif" w:eastAsia="Noto Serif"/>
          <w:sz w:val="17"/>
        </w:rPr>
        <w:t>Talhelm, T. et al. (2014). Large-scale psychological differences within China explained by rice versus wheat agriculture. Science, 344(6184), 603-608. DOI: 10.1126/science.1246850.</w:t>
      </w:r>
      <w:r>
        <w:t xml:space="preserve"> </w:t>
      </w:r>
      <w:hyperlink r:id="rId30">
        <w:r>
          <w:rPr>
            <w:color w:val="365D7D"/>
            <w:u w:val="single"/>
            <w:rFonts w:ascii="Noto Serif" w:hAnsi="Noto Serif"/>
          </w:rPr>
          <w:t>https://pubmed.ncbi.nlm.nih.gov/24812395/</w:t>
        </w:r>
      </w:hyperlink>
    </w:p>
    <w:p>
      <w:pPr>
        <w:widowControl/>
        <w:spacing w:after="100"/>
        <w:ind w:left="216" w:hanging="216"/>
      </w:pPr>
      <w:r>
        <w:rPr>
          <w:rFonts w:ascii="Noto Serif" w:hAnsi="Noto Serif" w:eastAsia="Noto Serif"/>
          <w:sz w:val="17"/>
        </w:rPr>
        <w:t>Terracciano, A. et al. (2005). National character does not reflect mean personality trait levels in 49 cultures. Science, 310(5745), 96-100. DOI: 10.1126/science.1117199.</w:t>
      </w:r>
      <w:r>
        <w:t xml:space="preserve"> </w:t>
      </w:r>
      <w:hyperlink r:id="rId31">
        <w:r>
          <w:rPr>
            <w:color w:val="365D7D"/>
            <w:u w:val="single"/>
            <w:rFonts w:ascii="Noto Serif" w:hAnsi="Noto Serif"/>
          </w:rPr>
          <w:t>https://pubmed.ncbi.nlm.nih.gov/16210536/</w:t>
        </w:r>
      </w:hyperlink>
    </w:p>
    <w:p>
      <w:pPr>
        <w:widowControl/>
        <w:spacing w:after="100"/>
        <w:ind w:left="216" w:hanging="216"/>
      </w:pPr>
      <w:r>
        <w:rPr>
          <w:rFonts w:ascii="Noto Serif" w:hAnsi="Noto Serif" w:eastAsia="Noto Serif"/>
          <w:sz w:val="17"/>
        </w:rPr>
        <w:t>Thomas, S. et al. (2023). The fundamentals of Indian personality: An investigation of the big five. Indian Journal of Psychiatry / PMC.</w:t>
      </w:r>
      <w:r>
        <w:t xml:space="preserve"> </w:t>
      </w:r>
      <w:hyperlink r:id="rId32">
        <w:r>
          <w:rPr>
            <w:color w:val="365D7D"/>
            <w:u w:val="single"/>
            <w:rFonts w:ascii="Noto Serif" w:hAnsi="Noto Serif"/>
          </w:rPr>
          <w:t>https://pmc.ncbi.nlm.nih.gov/articles/PMC10725210/</w:t>
        </w:r>
      </w:hyperlink>
    </w:p>
    <w:p>
      <w:pPr>
        <w:widowControl/>
        <w:spacing w:after="100"/>
        <w:ind w:left="216" w:hanging="216"/>
      </w:pPr>
      <w:r>
        <w:rPr>
          <w:rFonts w:ascii="Noto Serif" w:hAnsi="Noto Serif" w:eastAsia="Noto Serif"/>
          <w:sz w:val="17"/>
        </w:rPr>
        <w:t>United Nations Department of Economic and Social Affairs, Population Division. (2024). World Population Prospects 2024: Summary of Results.</w:t>
      </w:r>
      <w:r>
        <w:t xml:space="preserve"> </w:t>
      </w:r>
      <w:hyperlink r:id="rId33">
        <w:r>
          <w:rPr>
            <w:color w:val="365D7D"/>
            <w:u w:val="single"/>
            <w:rFonts w:ascii="Noto Serif" w:hAnsi="Noto Serif"/>
          </w:rPr>
          <w:t>https://www.un.org/development/desa/pd/content/world-population-prospects-2024</w:t>
        </w:r>
      </w:hyperlink>
    </w:p>
    <w:p>
      <w:pPr>
        <w:widowControl/>
        <w:spacing w:after="100"/>
        <w:ind w:left="216" w:hanging="216"/>
      </w:pPr>
      <w:r>
        <w:rPr>
          <w:rFonts w:ascii="Noto Serif" w:hAnsi="Noto Serif" w:eastAsia="Noto Serif"/>
          <w:sz w:val="17"/>
        </w:rPr>
        <w:t>Vignoles, V. L. et al. (2016). Beyond the East-West dichotomy: Global variation in cultural models of selfhood. Journal of Experimental Psychology: General, 145(8), 966-1000.</w:t>
      </w:r>
      <w:r>
        <w:t xml:space="preserve"> </w:t>
      </w:r>
      <w:hyperlink r:id="rId34">
        <w:r>
          <w:rPr>
            <w:color w:val="365D7D"/>
            <w:u w:val="single"/>
            <w:rFonts w:ascii="Noto Serif" w:hAnsi="Noto Serif"/>
          </w:rPr>
          <w:t>https://pubmed.ncbi.nlm.nih.gov/27359126/</w:t>
        </w:r>
      </w:hyperlink>
    </w:p>
    <w:p>
      <w:pPr>
        <w:widowControl/>
        <w:spacing w:after="100"/>
        <w:ind w:left="216" w:hanging="216"/>
      </w:pPr>
      <w:r>
        <w:rPr>
          <w:rFonts w:ascii="Noto Serif" w:hAnsi="Noto Serif" w:eastAsia="Noto Serif"/>
          <w:sz w:val="17"/>
        </w:rPr>
        <w:t>Vukasović, T., &amp; Bratko, D. (2015). Heritability of personality: A meta-analysis of behavior genetic studies. Psychological Bulletin, 141(4), 769-785. DOI: 10.1037/bul0000017.</w:t>
      </w:r>
      <w:r>
        <w:t xml:space="preserve"> </w:t>
      </w:r>
      <w:hyperlink r:id="rId35">
        <w:r>
          <w:rPr>
            <w:color w:val="365D7D"/>
            <w:u w:val="single"/>
            <w:rFonts w:ascii="Noto Serif" w:hAnsi="Noto Serif"/>
          </w:rPr>
          <w:t>https://pubmed.ncbi.nlm.nih.gov/25961374/</w:t>
        </w:r>
      </w:hyperlink>
    </w:p>
    <w:p>
      <w:pPr>
        <w:widowControl/>
        <w:spacing w:after="100"/>
        <w:ind w:left="216" w:hanging="216"/>
      </w:pPr>
      <w:r>
        <w:rPr>
          <w:rFonts w:ascii="Noto Serif" w:hAnsi="Noto Serif" w:eastAsia="Noto Serif"/>
          <w:sz w:val="17"/>
        </w:rPr>
        <w:t>Zimmermann, J., &amp; Neyer, F. J. (2013). Do we become a different person when hitting the road? Personality development of sojourners. Journal of Personality and Social Psychology, 105(3), 515-530. DOI: 10.1037/a0033019.</w:t>
      </w:r>
      <w:r>
        <w:t xml:space="preserve"> </w:t>
      </w:r>
      <w:hyperlink r:id="rId36">
        <w:r>
          <w:rPr>
            <w:color w:val="365D7D"/>
            <w:u w:val="single"/>
            <w:rFonts w:ascii="Noto Serif" w:hAnsi="Noto Serif"/>
          </w:rPr>
          <w:t>https://pubmed.ncbi.nlm.nih.gov/23773042/</w:t>
        </w:r>
      </w:hyperlink>
    </w:p>
    <w:p>
      <w:pPr>
        <w:widowControl/>
      </w:pPr>
      <w:r>
        <w:br w:type="page"/>
      </w:r>
    </w:p>
    <w:p>
      <w:pPr>
        <w:widowControl/>
        <w:spacing w:before="1800"/>
        <w:jc w:val="center"/>
      </w:pPr>
      <w:r>
        <w:rPr>
          <w:rFonts w:ascii="Noto Serif" w:hAnsi="Noto Serif" w:eastAsia="Noto Serif"/>
          <w:i/>
          <w:color w:val="3E4548"/>
          <w:sz w:val="30"/>
        </w:rPr>
        <w:t>O societate nu își alege urmașii direct.</w:t>
        <w:br/>
        <w:t>Își alege regulile, orașele, prestigiile și costurile.</w:t>
        <w:br/>
        <w:t>Apoi aceste alegeri aleg, statistic, cine poate avea un viitor.</w:t>
      </w:r>
    </w:p>
    <w:sectPr w:rsidR="00FC693F" w:rsidRPr="0006063C" w:rsidSect="00034616">
      <w:headerReference w:type="default" r:id="rId9"/>
      <w:footerReference w:type="default" r:id="rId10"/>
      <w:headerReference w:type="first" r:id="rId37"/>
      <w:footerReference w:type="first" r:id="rId38"/>
      <w:pgSz w:w="8640" w:h="12960"/>
      <w:pgMar w:top="1037" w:right="893" w:bottom="1008" w:left="1008"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eastAsia="Noto Sans"/>
        <w:b/>
        <w:color w:val="787878"/>
        <w:sz w:val="15"/>
      </w:rPr>
      <w:t>SOCIETATEA CARE NE SELECTEAZĂ</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4" w:line="264" w:lineRule="auto"/>
    </w:pPr>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2A34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2A34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2A34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29467052/" TargetMode="External"/><Relationship Id="rId12" Type="http://schemas.openxmlformats.org/officeDocument/2006/relationships/hyperlink" Target="https://pubmed.ncbi.nlm.nih.gov/14593828/" TargetMode="External"/><Relationship Id="rId13" Type="http://schemas.openxmlformats.org/officeDocument/2006/relationships/hyperlink" Target="https://ec.europa.eu/eurostat/web/interactive-publications/demography-2024" TargetMode="External"/><Relationship Id="rId14" Type="http://schemas.openxmlformats.org/officeDocument/2006/relationships/hyperlink" Target="https://pubmed.ncbi.nlm.nih.gov/17258852/" TargetMode="External"/><Relationship Id="rId15" Type="http://schemas.openxmlformats.org/officeDocument/2006/relationships/hyperlink" Target="https://pubmed.ncbi.nlm.nih.gov/38521087/" TargetMode="External"/><Relationship Id="rId16" Type="http://schemas.openxmlformats.org/officeDocument/2006/relationships/hyperlink" Target="https://pubmed.ncbi.nlm.nih.gov/21617077/" TargetMode="External"/><Relationship Id="rId17" Type="http://schemas.openxmlformats.org/officeDocument/2006/relationships/hyperlink" Target="https://pmc.ncbi.nlm.nih.gov/articles/PMC4104167/" TargetMode="External"/><Relationship Id="rId18" Type="http://schemas.openxmlformats.org/officeDocument/2006/relationships/hyperlink" Target="https://pubmed.ncbi.nlm.nih.gov/20550733/" TargetMode="External"/><Relationship Id="rId19" Type="http://schemas.openxmlformats.org/officeDocument/2006/relationships/hyperlink" Target="https://www.nature.com/articles/s41599-026-07079-1" TargetMode="External"/><Relationship Id="rId20" Type="http://schemas.openxmlformats.org/officeDocument/2006/relationships/hyperlink" Target="https://pubmed.ncbi.nlm.nih.gov/28096410/" TargetMode="External"/><Relationship Id="rId21" Type="http://schemas.openxmlformats.org/officeDocument/2006/relationships/hyperlink" Target="https://link.springer.com/article/10.1007/s10680-025-09739-5" TargetMode="External"/><Relationship Id="rId22" Type="http://schemas.openxmlformats.org/officeDocument/2006/relationships/hyperlink" Target="https://pubmed.ncbi.nlm.nih.gov/35044268/" TargetMode="External"/><Relationship Id="rId23" Type="http://schemas.openxmlformats.org/officeDocument/2006/relationships/hyperlink" Target="https://pmc.ncbi.nlm.nih.gov/articles/PMC5474730/" TargetMode="External"/><Relationship Id="rId24" Type="http://schemas.openxmlformats.org/officeDocument/2006/relationships/hyperlink" Target="https://onlinelibrary.wiley.com/doi/10.1002/psp.2720" TargetMode="External"/><Relationship Id="rId25" Type="http://schemas.openxmlformats.org/officeDocument/2006/relationships/hyperlink" Target="https://www.sciencedirect.com/science/article/pii/S0306919215000986" TargetMode="External"/><Relationship Id="rId26" Type="http://schemas.openxmlformats.org/officeDocument/2006/relationships/hyperlink" Target="https://pmc.ncbi.nlm.nih.gov/articles/PMC8374040/" TargetMode="External"/><Relationship Id="rId27" Type="http://schemas.openxmlformats.org/officeDocument/2006/relationships/hyperlink" Target="https://pubmed.ncbi.nlm.nih.gov/40094705/" TargetMode="External"/><Relationship Id="rId28" Type="http://schemas.openxmlformats.org/officeDocument/2006/relationships/hyperlink" Target="https://pubmed.ncbi.nlm.nih.gov/41481748/" TargetMode="External"/><Relationship Id="rId29" Type="http://schemas.openxmlformats.org/officeDocument/2006/relationships/hyperlink" Target="https://www.nature.com/articles/s41562-019-0730-3" TargetMode="External"/><Relationship Id="rId30" Type="http://schemas.openxmlformats.org/officeDocument/2006/relationships/hyperlink" Target="https://pubmed.ncbi.nlm.nih.gov/24812395/" TargetMode="External"/><Relationship Id="rId31" Type="http://schemas.openxmlformats.org/officeDocument/2006/relationships/hyperlink" Target="https://pubmed.ncbi.nlm.nih.gov/16210536/" TargetMode="External"/><Relationship Id="rId32" Type="http://schemas.openxmlformats.org/officeDocument/2006/relationships/hyperlink" Target="https://pmc.ncbi.nlm.nih.gov/articles/PMC10725210/" TargetMode="External"/><Relationship Id="rId33" Type="http://schemas.openxmlformats.org/officeDocument/2006/relationships/hyperlink" Target="https://www.un.org/development/desa/pd/content/world-population-prospects-2024" TargetMode="External"/><Relationship Id="rId34" Type="http://schemas.openxmlformats.org/officeDocument/2006/relationships/hyperlink" Target="https://pubmed.ncbi.nlm.nih.gov/27359126/" TargetMode="External"/><Relationship Id="rId35" Type="http://schemas.openxmlformats.org/officeDocument/2006/relationships/hyperlink" Target="https://pubmed.ncbi.nlm.nih.gov/25961374/" TargetMode="External"/><Relationship Id="rId36" Type="http://schemas.openxmlformats.org/officeDocument/2006/relationships/hyperlink" Target="https://pubmed.ncbi.nlm.nih.gov/23773042/" TargetMode="External"/><Relationship Id="rId37" Type="http://schemas.openxmlformats.org/officeDocument/2006/relationships/header" Target="header2.xm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Societatea care ne selectează</dc:title>
  <dc:subject>Fertilitate, personalitate, selecție culturală și viitorul societății</dc:subject>
  <dc:creator/>
  <cp:keywords>evoluție, fertilitate, personalitate, cultură, urbanizare, demografie, filosofie</cp:keywords>
  <dc:description>Research-based book manuscript, September 2026.</dc:description>
  <cp:lastModifiedBy/>
  <cp:revision>1</cp:revision>
  <dcterms:created xsi:type="dcterms:W3CDTF">2013-12-23T23:15:00Z</dcterms:created>
  <dcterms:modified xsi:type="dcterms:W3CDTF">2013-12-23T23:15:00Z</dcterms:modified>
  <cp:category/>
</cp:coreProperties>
</file>